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F4E79"/>
          <w:sz w:val="44"/>
        </w:rPr>
        <w:t>AutoValiSearch</w:t>
      </w:r>
    </w:p>
    <w:p>
      <w:r>
        <w:rPr>
          <w:rFonts w:ascii="Arial" w:hAnsi="Arial" w:eastAsia="Microsoft YaHei"/>
          <w:b w:val="0"/>
          <w:sz w:val="22"/>
        </w:rPr>
        <w:t>Controlled LLM-driven workflow for configuration search and validation.</w:t>
      </w:r>
    </w:p>
    <w:p>
      <w:r>
        <w:rPr>
          <w:rFonts w:ascii="Arial" w:hAnsi="Arial" w:eastAsia="Microsoft YaHei"/>
          <w:b w:val="0"/>
          <w:sz w:val="22"/>
        </w:rPr>
        <w:t>Stage I searches bounded training configs. Stage II searches deployable validation policies.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 w:eastAsia="Microsoft YaHei"/>
          <w:b/>
          <w:color w:val="1F4E79"/>
          <w:sz w:val="44"/>
        </w:rPr>
        <w:t>Stage I: Configuration Search</w:t>
      </w:r>
    </w:p>
    <w:p>
      <w:r>
        <w:rPr>
          <w:rFonts w:ascii="Arial" w:hAnsi="Arial" w:eastAsia="Microsoft YaHei"/>
          <w:b w:val="0"/>
          <w:sz w:val="22"/>
        </w:rPr>
        <w:t>One trial = one config over 4 splits x 2 seeds. Methods: llm_broad, botorch_broad, tpe_broad. Search space size: 4096.</w:t>
      </w:r>
    </w:p>
    <w:p>
      <w:r>
        <w:br w:type="page"/>
      </w:r>
    </w:p>
    <w:p>
      <w:pPr>
        <w:jc w:val="center"/>
      </w:pPr>
      <w:r>
        <w:rPr>
          <w:rFonts w:ascii="Arial" w:hAnsi="Arial" w:eastAsia="Microsoft YaHei"/>
          <w:b/>
          <w:color w:val="1F4E79"/>
          <w:sz w:val="44"/>
        </w:rPr>
        <w:t>Stage I Results</w:t>
      </w:r>
    </w:p>
    <w:p>
      <w:r>
        <w:rPr>
          <w:rFonts w:ascii="Arial" w:hAnsi="Arial" w:eastAsia="Microsoft YaHei"/>
          <w:b w:val="0"/>
          <w:sz w:val="22"/>
        </w:rPr>
        <w:t>PACS: LLM 77.226 vs BoTorch 76.810 vs TPE 76.902.</w:t>
        <w:br/>
        <w:t>VLCS: LLM 67.852 vs BoTorch 67.478 vs TPE 67.721.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 w:eastAsia="Microsoft YaHei"/>
          <w:b/>
          <w:color w:val="1F4E79"/>
          <w:sz w:val="44"/>
        </w:rPr>
        <w:t>Stage II: Validation Workflow</w:t>
      </w:r>
    </w:p>
    <w:p>
      <w:r>
        <w:rPr>
          <w:rFonts w:ascii="Arial" w:hAnsi="Arial" w:eastAsia="Microsoft YaHei"/>
          <w:b w:val="0"/>
          <w:sz w:val="22"/>
        </w:rPr>
        <w:t>LLM proposes validation policy DSL. Controller compiles, repairs, caches view scores, selects checkpoints, and applies safety fallback.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Arial" w:hAnsi="Arial" w:eastAsia="Microsoft YaHei"/>
          <w:b/>
          <w:color w:val="1F4E79"/>
          <w:sz w:val="44"/>
        </w:rPr>
        <w:t>Stage II Results</w:t>
      </w:r>
    </w:p>
    <w:p>
      <w:r>
        <w:rPr>
          <w:rFonts w:ascii="Arial" w:hAnsi="Arial" w:eastAsia="Microsoft YaHei"/>
          <w:b w:val="0"/>
          <w:sz w:val="22"/>
        </w:rPr>
        <w:t>PACS policy robust_rank_weighted_v11: 77.736, gain +0.510.</w:t>
        <w:br/>
        <w:t>VLCS policy source_dominant_weighted_v7: 67.988, gain +0.136.</w:t>
        <w:br/>
        <w:t>Upper bound is analysis-only.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