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468C2" w14:textId="77777777" w:rsidR="002103D5" w:rsidRDefault="00000000">
      <w:pPr>
        <w:pStyle w:val="1"/>
        <w:rPr>
          <w:lang w:val="en-US"/>
        </w:rPr>
      </w:pPr>
      <w:bookmarkStart w:id="0" w:name="_Toc353006855"/>
      <w:bookmarkStart w:id="1" w:name="_Toc355776821"/>
      <w:bookmarkStart w:id="2" w:name="_Toc352561184"/>
      <w:bookmarkStart w:id="3" w:name="_Toc353006811"/>
      <w:bookmarkStart w:id="4" w:name="_Toc353001317"/>
      <w:bookmarkStart w:id="5" w:name="_Toc394326144"/>
      <w:bookmarkEnd w:id="0"/>
      <w:bookmarkEnd w:id="1"/>
      <w:bookmarkEnd w:id="2"/>
      <w:bookmarkEnd w:id="3"/>
      <w:bookmarkEnd w:id="4"/>
      <w:r>
        <w:rPr>
          <w:lang w:val="en-US"/>
        </w:rPr>
        <w:t>Layout</w:t>
      </w:r>
      <w:bookmarkEnd w:id="5"/>
      <w:r>
        <w:rPr>
          <w:lang w:val="en-US"/>
        </w:rPr>
        <w:t xml:space="preserve"> UV Station ++ST050</w:t>
      </w:r>
    </w:p>
    <w:p w14:paraId="6FA3C0C0" w14:textId="77777777" w:rsidR="002103D5" w:rsidRDefault="002103D5">
      <w:pPr>
        <w:rPr>
          <w:lang w:val="en-US" w:eastAsia="de-DE"/>
        </w:rPr>
      </w:pPr>
    </w:p>
    <w:p w14:paraId="782683A0" w14:textId="77777777" w:rsidR="002103D5" w:rsidRDefault="002103D5">
      <w:pPr>
        <w:rPr>
          <w:lang w:val="en-US" w:eastAsia="de-DE"/>
        </w:rPr>
      </w:pPr>
    </w:p>
    <w:p w14:paraId="78949752" w14:textId="77777777" w:rsidR="002103D5" w:rsidRDefault="002103D5">
      <w:pPr>
        <w:rPr>
          <w:lang w:val="en-US" w:eastAsia="de-DE"/>
        </w:rPr>
      </w:pPr>
    </w:p>
    <w:p w14:paraId="777E0AEA" w14:textId="77777777" w:rsidR="002103D5" w:rsidRDefault="00000000">
      <w:pPr>
        <w:rPr>
          <w:rFonts w:eastAsia="宋体"/>
          <w:lang w:val="en-US" w:eastAsia="zh-CN"/>
        </w:rPr>
      </w:pPr>
      <w:r>
        <w:rPr>
          <w:rFonts w:eastAsia="宋体" w:hint="eastAsia"/>
          <w:noProof/>
          <w:lang w:val="en-US" w:eastAsia="zh-CN"/>
        </w:rPr>
        <w:drawing>
          <wp:inline distT="0" distB="0" distL="114300" distR="114300" wp14:anchorId="26D03148" wp14:editId="1BFF702C">
            <wp:extent cx="5754370" cy="7212330"/>
            <wp:effectExtent l="0" t="0" r="11430" b="1270"/>
            <wp:docPr id="9" name="图片 9" descr="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50"/>
                    <pic:cNvPicPr>
                      <a:picLocks noChangeAspect="1"/>
                    </pic:cNvPicPr>
                  </pic:nvPicPr>
                  <pic:blipFill>
                    <a:blip r:embed="rId11"/>
                    <a:stretch>
                      <a:fillRect/>
                    </a:stretch>
                  </pic:blipFill>
                  <pic:spPr>
                    <a:xfrm>
                      <a:off x="0" y="0"/>
                      <a:ext cx="5754370" cy="7212330"/>
                    </a:xfrm>
                    <a:prstGeom prst="rect">
                      <a:avLst/>
                    </a:prstGeom>
                  </pic:spPr>
                </pic:pic>
              </a:graphicData>
            </a:graphic>
          </wp:inline>
        </w:drawing>
      </w:r>
    </w:p>
    <w:p w14:paraId="3975A307" w14:textId="77777777" w:rsidR="002103D5" w:rsidRDefault="002103D5">
      <w:pPr>
        <w:rPr>
          <w:lang w:val="en-US" w:eastAsia="de-DE"/>
        </w:rPr>
      </w:pPr>
    </w:p>
    <w:p w14:paraId="70FC0C4C" w14:textId="77777777" w:rsidR="002103D5" w:rsidRDefault="002103D5">
      <w:pPr>
        <w:rPr>
          <w:lang w:val="en-US" w:eastAsia="de-DE"/>
        </w:rPr>
      </w:pPr>
    </w:p>
    <w:p w14:paraId="1070A7C3" w14:textId="77777777" w:rsidR="002103D5" w:rsidRDefault="002103D5">
      <w:pPr>
        <w:rPr>
          <w:lang w:val="en-US" w:eastAsia="de-DE"/>
        </w:rPr>
      </w:pPr>
    </w:p>
    <w:p w14:paraId="4CE0A9E6" w14:textId="77777777" w:rsidR="002103D5" w:rsidRDefault="00000000">
      <w:pPr>
        <w:pStyle w:val="1"/>
        <w:rPr>
          <w:lang w:val="en-US"/>
        </w:rPr>
      </w:pPr>
      <w:bookmarkStart w:id="6" w:name="_Toc394326145"/>
      <w:r>
        <w:rPr>
          <w:lang w:val="en-US"/>
        </w:rPr>
        <w:lastRenderedPageBreak/>
        <w:t>Production process in ++ST</w:t>
      </w:r>
      <w:bookmarkEnd w:id="6"/>
      <w:r>
        <w:rPr>
          <w:lang w:val="en-US"/>
        </w:rPr>
        <w:t>050</w:t>
      </w:r>
    </w:p>
    <w:p w14:paraId="61E2B006" w14:textId="77777777" w:rsidR="002103D5" w:rsidRDefault="002103D5">
      <w:pPr>
        <w:jc w:val="both"/>
        <w:rPr>
          <w:lang w:val="en-US"/>
        </w:rPr>
      </w:pPr>
      <w:bookmarkStart w:id="7" w:name="_Toc394326146"/>
      <w:bookmarkEnd w:id="7"/>
    </w:p>
    <w:p w14:paraId="5087BD5B" w14:textId="77777777" w:rsidR="002103D5" w:rsidRDefault="00000000">
      <w:pPr>
        <w:jc w:val="both"/>
        <w:rPr>
          <w:lang w:val="en-US"/>
        </w:rPr>
      </w:pPr>
      <w:bookmarkStart w:id="8" w:name="_Toc394326146_Copy_1"/>
      <w:bookmarkEnd w:id="8"/>
      <w:r>
        <w:rPr>
          <w:lang w:val="en-US"/>
        </w:rPr>
        <w:t>When the battery enters the UV station, a Puck test must be performed first. After obtaining the data, press the “Mesurement OK” button on the interface. The battery then proceeds into the UV station to begin the curing process.</w:t>
      </w:r>
    </w:p>
    <w:p w14:paraId="02782A79" w14:textId="77777777" w:rsidR="002103D5" w:rsidRDefault="00000000">
      <w:pPr>
        <w:jc w:val="both"/>
        <w:rPr>
          <w:lang w:val="en-US"/>
        </w:rPr>
      </w:pPr>
      <w:r>
        <w:rPr>
          <w:lang w:val="en-US"/>
        </w:rPr>
        <w:t>Before releasing JOB1, the ICAD triggers a measurement function. After curing is completed, the UV lamp returns , and the ICAD performs another measurement. The data obtained from the ICAD measurement is compared with the data from the initial puck test, triggering an alarm or warning based on the comparison results</w:t>
      </w:r>
    </w:p>
    <w:p w14:paraId="57021256" w14:textId="77777777" w:rsidR="002103D5" w:rsidRDefault="00000000">
      <w:pPr>
        <w:rPr>
          <w:lang w:val="en-US" w:eastAsia="de-DE"/>
        </w:rPr>
      </w:pPr>
      <w:r>
        <w:rPr>
          <w:lang w:val="en-US" w:eastAsia="de-DE"/>
        </w:rPr>
        <w:t>JOB1: UV curing</w:t>
      </w:r>
    </w:p>
    <w:p w14:paraId="058657CC" w14:textId="326112E9" w:rsidR="002103D5" w:rsidRPr="00237F29" w:rsidRDefault="00000000">
      <w:pPr>
        <w:rPr>
          <w:rFonts w:eastAsiaTheme="minorEastAsia"/>
          <w:lang w:val="en-US" w:eastAsia="zh-CN"/>
        </w:rPr>
      </w:pPr>
      <w:r>
        <w:rPr>
          <w:lang w:val="en-US" w:eastAsia="de-DE"/>
        </w:rPr>
        <w:t xml:space="preserve">JOB50: PUCK </w:t>
      </w:r>
      <w:r w:rsidR="00237F29">
        <w:rPr>
          <w:rFonts w:eastAsiaTheme="minorEastAsia" w:hint="eastAsia"/>
          <w:lang w:val="en-US" w:eastAsia="zh-CN"/>
        </w:rPr>
        <w:t>test</w:t>
      </w:r>
    </w:p>
    <w:p w14:paraId="0DE2DC78" w14:textId="63E7029C" w:rsidR="002103D5" w:rsidRDefault="00000000">
      <w:pPr>
        <w:rPr>
          <w:lang w:val="en-US" w:eastAsia="de-DE"/>
        </w:rPr>
      </w:pPr>
      <w:r>
        <w:rPr>
          <w:lang w:val="en-US" w:eastAsia="de-DE"/>
        </w:rPr>
        <w:t>JOB51:Sample te</w:t>
      </w:r>
      <w:r w:rsidR="00ED1EC7">
        <w:rPr>
          <w:rFonts w:eastAsiaTheme="minorEastAsia" w:hint="eastAsia"/>
          <w:lang w:val="en-US" w:eastAsia="zh-CN"/>
        </w:rPr>
        <w:t>s</w:t>
      </w:r>
      <w:r>
        <w:rPr>
          <w:lang w:val="en-US" w:eastAsia="de-DE"/>
        </w:rPr>
        <w:t>t</w:t>
      </w:r>
    </w:p>
    <w:p w14:paraId="53309347" w14:textId="77777777" w:rsidR="002103D5" w:rsidRDefault="002103D5">
      <w:pPr>
        <w:rPr>
          <w:lang w:val="en-US" w:eastAsia="de-DE"/>
        </w:rPr>
      </w:pPr>
    </w:p>
    <w:p w14:paraId="098EE0AA" w14:textId="77777777" w:rsidR="002103D5" w:rsidRDefault="002103D5">
      <w:pPr>
        <w:rPr>
          <w:lang w:val="en-US" w:eastAsia="de-DE"/>
        </w:rPr>
      </w:pPr>
    </w:p>
    <w:p w14:paraId="494D9361" w14:textId="77777777" w:rsidR="002103D5" w:rsidRDefault="00000000">
      <w:pPr>
        <w:pStyle w:val="1"/>
        <w:rPr>
          <w:lang w:val="en-US"/>
        </w:rPr>
      </w:pPr>
      <w:bookmarkStart w:id="9" w:name="_Toc394326149"/>
      <w:r>
        <w:rPr>
          <w:lang w:val="en-US"/>
        </w:rPr>
        <w:lastRenderedPageBreak/>
        <w:t xml:space="preserve">Constituents of </w:t>
      </w:r>
      <w:bookmarkEnd w:id="9"/>
      <w:r>
        <w:rPr>
          <w:lang w:val="en-US"/>
        </w:rPr>
        <w:t>++ST010</w:t>
      </w:r>
    </w:p>
    <w:p w14:paraId="401BBDDD" w14:textId="77777777" w:rsidR="002103D5" w:rsidRDefault="00000000">
      <w:pPr>
        <w:rPr>
          <w:lang w:val="en-US" w:eastAsia="de-DE"/>
        </w:rPr>
      </w:pPr>
      <w:r>
        <w:rPr>
          <w:lang w:val="en-US" w:eastAsia="de-DE"/>
        </w:rPr>
        <w:t>This transmission lines consists of the following components with an operating mode:</w:t>
      </w:r>
    </w:p>
    <w:p w14:paraId="034FA806" w14:textId="77777777" w:rsidR="002103D5" w:rsidRDefault="002103D5">
      <w:pPr>
        <w:rPr>
          <w:lang w:val="en-US" w:eastAsia="de-DE"/>
        </w:rPr>
      </w:pPr>
    </w:p>
    <w:p w14:paraId="21ED8E67" w14:textId="77777777" w:rsidR="002103D5" w:rsidRDefault="00000000">
      <w:pPr>
        <w:pStyle w:val="af6"/>
        <w:numPr>
          <w:ilvl w:val="0"/>
          <w:numId w:val="8"/>
        </w:numPr>
        <w:rPr>
          <w:lang w:val="en-US" w:eastAsia="de-DE"/>
        </w:rPr>
      </w:pPr>
      <w:r>
        <w:rPr>
          <w:lang w:val="en-US" w:eastAsia="de-DE"/>
        </w:rPr>
        <w:t>++ST0</w:t>
      </w:r>
      <w:r>
        <w:rPr>
          <w:rFonts w:eastAsia="宋体" w:hint="eastAsia"/>
          <w:lang w:val="en-US" w:eastAsia="zh-CN"/>
        </w:rPr>
        <w:t>5</w:t>
      </w:r>
      <w:r>
        <w:rPr>
          <w:lang w:val="en-US" w:eastAsia="de-DE"/>
        </w:rPr>
        <w:t>0+IR001: Robot with UV lamp</w:t>
      </w:r>
    </w:p>
    <w:p w14:paraId="317CBCF2" w14:textId="77777777" w:rsidR="002103D5" w:rsidRDefault="00000000">
      <w:pPr>
        <w:pStyle w:val="af6"/>
        <w:numPr>
          <w:ilvl w:val="0"/>
          <w:numId w:val="8"/>
        </w:numPr>
        <w:rPr>
          <w:lang w:val="en-US" w:eastAsia="de-DE"/>
        </w:rPr>
      </w:pPr>
      <w:r>
        <w:rPr>
          <w:lang w:val="en-US" w:eastAsia="de-DE"/>
        </w:rPr>
        <w:t>++ST050+TL00</w:t>
      </w:r>
      <w:r>
        <w:rPr>
          <w:rFonts w:eastAsia="宋体" w:hint="eastAsia"/>
          <w:lang w:val="en-US" w:eastAsia="zh-CN"/>
        </w:rPr>
        <w:t>1</w:t>
      </w:r>
      <w:r>
        <w:rPr>
          <w:lang w:val="en-US" w:eastAsia="de-DE"/>
        </w:rPr>
        <w:t>: Roller conveyor</w:t>
      </w:r>
    </w:p>
    <w:p w14:paraId="19694AE3" w14:textId="77777777" w:rsidR="002103D5" w:rsidRDefault="00000000">
      <w:pPr>
        <w:pStyle w:val="af6"/>
        <w:numPr>
          <w:ilvl w:val="0"/>
          <w:numId w:val="8"/>
        </w:numPr>
        <w:rPr>
          <w:lang w:val="en-US" w:eastAsia="de-DE"/>
        </w:rPr>
      </w:pPr>
      <w:r>
        <w:rPr>
          <w:lang w:val="en-US" w:eastAsia="de-DE"/>
        </w:rPr>
        <w:t>++ST050+TL002: Roller conveyor</w:t>
      </w:r>
    </w:p>
    <w:p w14:paraId="776A9810" w14:textId="77777777" w:rsidR="002103D5" w:rsidRDefault="00000000">
      <w:pPr>
        <w:pStyle w:val="af6"/>
        <w:numPr>
          <w:ilvl w:val="0"/>
          <w:numId w:val="8"/>
        </w:numPr>
        <w:rPr>
          <w:lang w:val="en-US" w:eastAsia="de-DE"/>
        </w:rPr>
      </w:pPr>
      <w:r>
        <w:rPr>
          <w:lang w:val="en-US" w:eastAsia="de-DE"/>
        </w:rPr>
        <w:t>++ST050+TO001:Trolley</w:t>
      </w:r>
    </w:p>
    <w:p w14:paraId="4F58A775" w14:textId="77777777" w:rsidR="002103D5" w:rsidRDefault="002103D5">
      <w:pPr>
        <w:pStyle w:val="af6"/>
        <w:ind w:left="720"/>
        <w:rPr>
          <w:lang w:val="en-US" w:eastAsia="de-DE"/>
        </w:rPr>
      </w:pPr>
    </w:p>
    <w:p w14:paraId="171D00E8" w14:textId="77777777" w:rsidR="002103D5" w:rsidRDefault="002103D5">
      <w:pPr>
        <w:rPr>
          <w:lang w:val="en-US" w:eastAsia="de-DE"/>
        </w:rPr>
      </w:pPr>
    </w:p>
    <w:p w14:paraId="4EB8901C" w14:textId="77777777" w:rsidR="002103D5" w:rsidRDefault="002103D5">
      <w:pPr>
        <w:rPr>
          <w:lang w:val="en-US" w:eastAsia="de-DE"/>
        </w:rPr>
      </w:pPr>
    </w:p>
    <w:p w14:paraId="197D551F" w14:textId="77777777" w:rsidR="002103D5" w:rsidRDefault="00000000">
      <w:pPr>
        <w:rPr>
          <w:lang w:val="en-US" w:eastAsia="de-DE"/>
        </w:rPr>
      </w:pPr>
      <w:r>
        <w:rPr>
          <w:lang w:val="en-US" w:eastAsia="de-DE"/>
        </w:rPr>
        <w:t>This transmission lines consists of the following components without an operating mode:</w:t>
      </w:r>
    </w:p>
    <w:p w14:paraId="78373CA8" w14:textId="77777777" w:rsidR="002103D5" w:rsidRDefault="002103D5">
      <w:pPr>
        <w:rPr>
          <w:lang w:val="en-US" w:eastAsia="de-DE"/>
        </w:rPr>
      </w:pPr>
    </w:p>
    <w:p w14:paraId="7A1EF449" w14:textId="77777777" w:rsidR="002103D5" w:rsidRDefault="00000000">
      <w:pPr>
        <w:pStyle w:val="af6"/>
        <w:numPr>
          <w:ilvl w:val="0"/>
          <w:numId w:val="8"/>
        </w:numPr>
        <w:rPr>
          <w:lang w:val="en-US" w:eastAsia="de-DE"/>
        </w:rPr>
      </w:pPr>
      <w:r>
        <w:rPr>
          <w:lang w:val="en-US" w:eastAsia="de-DE"/>
        </w:rPr>
        <w:t>++ST050+OP001: Operation Panel (HMI)</w:t>
      </w:r>
    </w:p>
    <w:p w14:paraId="108E8D15" w14:textId="77777777" w:rsidR="002103D5" w:rsidRDefault="00000000">
      <w:pPr>
        <w:pStyle w:val="af6"/>
        <w:numPr>
          <w:ilvl w:val="0"/>
          <w:numId w:val="8"/>
        </w:numPr>
        <w:rPr>
          <w:lang w:val="en-US" w:eastAsia="de-DE"/>
        </w:rPr>
      </w:pPr>
      <w:r>
        <w:rPr>
          <w:lang w:val="en-US" w:eastAsia="de-DE"/>
        </w:rPr>
        <w:t>++ST050+SD001: Protective door</w:t>
      </w:r>
    </w:p>
    <w:p w14:paraId="47C71C25" w14:textId="77777777" w:rsidR="002103D5" w:rsidRDefault="00000000">
      <w:pPr>
        <w:pStyle w:val="af6"/>
        <w:numPr>
          <w:ilvl w:val="0"/>
          <w:numId w:val="8"/>
        </w:numPr>
        <w:rPr>
          <w:lang w:val="en-US" w:eastAsia="de-DE"/>
        </w:rPr>
      </w:pPr>
      <w:r>
        <w:rPr>
          <w:lang w:val="en-US" w:eastAsia="de-DE"/>
        </w:rPr>
        <w:t>++ST050+SD002: Protective door</w:t>
      </w:r>
    </w:p>
    <w:p w14:paraId="3C8F9627" w14:textId="77777777" w:rsidR="002103D5" w:rsidRDefault="002103D5">
      <w:pPr>
        <w:pStyle w:val="af6"/>
        <w:ind w:left="720"/>
        <w:rPr>
          <w:lang w:val="en-US" w:eastAsia="de-DE"/>
        </w:rPr>
      </w:pPr>
    </w:p>
    <w:p w14:paraId="6B80206B" w14:textId="77777777" w:rsidR="002103D5" w:rsidRDefault="002103D5">
      <w:pPr>
        <w:rPr>
          <w:lang w:val="en-US" w:eastAsia="de-DE"/>
        </w:rPr>
      </w:pPr>
    </w:p>
    <w:p w14:paraId="2D68A94D" w14:textId="77777777" w:rsidR="002103D5" w:rsidRDefault="002103D5">
      <w:pPr>
        <w:rPr>
          <w:lang w:val="en-US" w:eastAsia="de-DE"/>
        </w:rPr>
      </w:pPr>
    </w:p>
    <w:p w14:paraId="2333AF57" w14:textId="77777777" w:rsidR="002103D5" w:rsidRDefault="002103D5">
      <w:pPr>
        <w:rPr>
          <w:lang w:val="en-US" w:eastAsia="de-DE"/>
        </w:rPr>
      </w:pPr>
    </w:p>
    <w:p w14:paraId="10DA5135" w14:textId="77777777" w:rsidR="002103D5" w:rsidRDefault="002103D5">
      <w:pPr>
        <w:rPr>
          <w:lang w:val="en-US" w:eastAsia="de-DE"/>
        </w:rPr>
      </w:pPr>
    </w:p>
    <w:p w14:paraId="226A255D" w14:textId="77777777" w:rsidR="002103D5" w:rsidRDefault="00000000">
      <w:pPr>
        <w:pStyle w:val="1"/>
        <w:rPr>
          <w:lang w:val="en-US"/>
        </w:rPr>
      </w:pPr>
      <w:r>
        <w:rPr>
          <w:lang w:val="en-US"/>
        </w:rPr>
        <w:lastRenderedPageBreak/>
        <w:t>Maintenance programs</w:t>
      </w:r>
    </w:p>
    <w:p w14:paraId="5D2822B8" w14:textId="77777777" w:rsidR="002103D5" w:rsidRDefault="002103D5">
      <w:pPr>
        <w:rPr>
          <w:lang w:val="en-US" w:eastAsia="de-DE"/>
        </w:rPr>
      </w:pPr>
    </w:p>
    <w:p w14:paraId="67C8E70D" w14:textId="77777777" w:rsidR="002103D5" w:rsidRDefault="00000000">
      <w:pPr>
        <w:rPr>
          <w:lang w:val="en-US" w:eastAsia="de-DE"/>
        </w:rPr>
      </w:pPr>
      <w:r>
        <w:rPr>
          <w:noProof/>
          <w:lang w:val="en-US" w:eastAsia="de-DE"/>
        </w:rPr>
        <w:drawing>
          <wp:inline distT="0" distB="0" distL="0" distR="0" wp14:anchorId="317F19BB" wp14:editId="740AFB4A">
            <wp:extent cx="5757545" cy="260604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2"/>
                    <a:srcRect l="33" t="7588"/>
                    <a:stretch>
                      <a:fillRect/>
                    </a:stretch>
                  </pic:blipFill>
                  <pic:spPr>
                    <a:xfrm>
                      <a:off x="0" y="0"/>
                      <a:ext cx="5757545" cy="2606040"/>
                    </a:xfrm>
                    <a:prstGeom prst="rect">
                      <a:avLst/>
                    </a:prstGeom>
                  </pic:spPr>
                </pic:pic>
              </a:graphicData>
            </a:graphic>
          </wp:inline>
        </w:drawing>
      </w:r>
    </w:p>
    <w:p w14:paraId="2154C161" w14:textId="77777777" w:rsidR="002103D5" w:rsidRDefault="002103D5">
      <w:pPr>
        <w:rPr>
          <w:lang w:val="en-US" w:eastAsia="de-DE"/>
        </w:rPr>
      </w:pPr>
    </w:p>
    <w:p w14:paraId="4B8B700B" w14:textId="77777777" w:rsidR="002103D5" w:rsidRDefault="002103D5">
      <w:pPr>
        <w:rPr>
          <w:lang w:val="en-US" w:eastAsia="de-DE"/>
        </w:rPr>
      </w:pPr>
    </w:p>
    <w:p w14:paraId="3F562C9D" w14:textId="77777777" w:rsidR="002103D5" w:rsidRDefault="002103D5">
      <w:pPr>
        <w:rPr>
          <w:lang w:val="en-US" w:eastAsia="de-DE"/>
        </w:rPr>
      </w:pPr>
    </w:p>
    <w:p w14:paraId="67FA5BF9" w14:textId="77777777" w:rsidR="002103D5" w:rsidRDefault="00000000">
      <w:pPr>
        <w:rPr>
          <w:lang w:val="en-US" w:eastAsia="de-DE"/>
        </w:rPr>
      </w:pPr>
      <w:r>
        <w:rPr>
          <w:lang w:val="en-US" w:eastAsia="de-DE"/>
        </w:rPr>
        <w:t>To request a maintenance position, press the corresponding “Start” button. The robot will start driving to the selected position as soon as possible. When no other program is active and safety / interlocks are clear. Once in position the “in position” will light on. The robot will remain in the maintenance position until the “Start” button is pressed again. Then the robot drives back to the home position.</w:t>
      </w:r>
    </w:p>
    <w:p w14:paraId="0AA7509A" w14:textId="77777777" w:rsidR="002103D5" w:rsidRDefault="002103D5">
      <w:pPr>
        <w:rPr>
          <w:lang w:val="en-US" w:eastAsia="de-DE"/>
        </w:rPr>
      </w:pPr>
    </w:p>
    <w:p w14:paraId="4FCBE20F" w14:textId="77777777" w:rsidR="002103D5" w:rsidRDefault="00000000">
      <w:pPr>
        <w:rPr>
          <w:lang w:val="en-US" w:eastAsia="de-DE"/>
        </w:rPr>
      </w:pPr>
      <w:r>
        <w:rPr>
          <w:lang w:val="en-US" w:eastAsia="de-DE"/>
        </w:rPr>
        <w:t>The maintenance positions are selected individually for each robot.</w:t>
      </w:r>
    </w:p>
    <w:p w14:paraId="5BAC498A" w14:textId="77777777" w:rsidR="002103D5" w:rsidRDefault="002103D5">
      <w:pPr>
        <w:rPr>
          <w:lang w:val="en-US" w:eastAsia="de-DE"/>
        </w:rPr>
      </w:pPr>
    </w:p>
    <w:p w14:paraId="7B8E2924" w14:textId="77777777" w:rsidR="002103D5" w:rsidRDefault="002103D5">
      <w:pPr>
        <w:rPr>
          <w:lang w:val="en-US" w:eastAsia="de-DE"/>
        </w:rPr>
      </w:pPr>
    </w:p>
    <w:p w14:paraId="17CD4D81" w14:textId="77777777" w:rsidR="002103D5" w:rsidRDefault="002103D5">
      <w:pPr>
        <w:rPr>
          <w:lang w:val="en-US" w:eastAsia="de-DE"/>
        </w:rPr>
      </w:pPr>
    </w:p>
    <w:p w14:paraId="3A23186B" w14:textId="77777777" w:rsidR="002103D5" w:rsidRDefault="002103D5">
      <w:pPr>
        <w:rPr>
          <w:lang w:val="en-US" w:eastAsia="de-DE"/>
        </w:rPr>
      </w:pPr>
    </w:p>
    <w:p w14:paraId="6F6C9071" w14:textId="77777777" w:rsidR="002103D5" w:rsidRDefault="00000000">
      <w:pPr>
        <w:pStyle w:val="1"/>
        <w:rPr>
          <w:lang w:val="en-US"/>
        </w:rPr>
      </w:pPr>
      <w:r>
        <w:rPr>
          <w:lang w:val="en-US"/>
        </w:rPr>
        <w:lastRenderedPageBreak/>
        <w:t>Special operating mode functions</w:t>
      </w:r>
    </w:p>
    <w:p w14:paraId="32EE3B82" w14:textId="77777777" w:rsidR="002103D5" w:rsidRDefault="00000000">
      <w:pPr>
        <w:pStyle w:val="2"/>
        <w:rPr>
          <w:lang w:val="en-US"/>
        </w:rPr>
      </w:pPr>
      <w:r>
        <w:rPr>
          <w:lang w:val="en-US"/>
        </w:rPr>
        <w:t>Controlled Stop</w:t>
      </w:r>
    </w:p>
    <w:p w14:paraId="786DB8D3" w14:textId="77777777" w:rsidR="002103D5" w:rsidRDefault="00000000">
      <w:pPr>
        <w:rPr>
          <w:lang w:val="en-US"/>
        </w:rPr>
      </w:pPr>
      <w:r>
        <w:rPr>
          <w:lang w:val="en-US"/>
        </w:rPr>
        <w:t xml:space="preserve">When the special operating mode “Controlled Stop” is selected on the GROUP Level all components </w:t>
      </w:r>
      <w:bookmarkStart w:id="10" w:name="_Hlk195541151"/>
      <w:r>
        <w:rPr>
          <w:lang w:val="en-US"/>
        </w:rPr>
        <w:t xml:space="preserve">of this group </w:t>
      </w:r>
      <w:bookmarkEnd w:id="10"/>
      <w:r>
        <w:rPr>
          <w:lang w:val="en-US"/>
        </w:rPr>
        <w:t>will stop the movement in the next possible step without interrupting a running process.</w:t>
      </w:r>
    </w:p>
    <w:p w14:paraId="24586540" w14:textId="77777777" w:rsidR="002103D5" w:rsidRDefault="002103D5">
      <w:pPr>
        <w:rPr>
          <w:lang w:val="en-US" w:eastAsia="de-DE"/>
        </w:rPr>
      </w:pPr>
    </w:p>
    <w:p w14:paraId="6E30FF9F" w14:textId="77777777" w:rsidR="002103D5" w:rsidRDefault="00000000">
      <w:pPr>
        <w:pStyle w:val="2"/>
        <w:rPr>
          <w:lang w:val="en-US"/>
        </w:rPr>
      </w:pPr>
      <w:r>
        <w:rPr>
          <w:lang w:val="en-US"/>
        </w:rPr>
        <w:t>Stop in Home</w:t>
      </w:r>
    </w:p>
    <w:p w14:paraId="68CB5984" w14:textId="77777777" w:rsidR="002103D5" w:rsidRDefault="00000000">
      <w:pPr>
        <w:rPr>
          <w:lang w:val="en-US"/>
        </w:rPr>
      </w:pPr>
      <w:r>
        <w:rPr>
          <w:lang w:val="en-US"/>
        </w:rPr>
        <w:t>When the special operating mode “Stop in Home” is selected on the GROUP Level all components of this group will stop the movement in the next possible Home position.</w:t>
      </w:r>
    </w:p>
    <w:p w14:paraId="5C360660" w14:textId="77777777" w:rsidR="002103D5" w:rsidRDefault="002103D5">
      <w:pPr>
        <w:rPr>
          <w:lang w:val="en-US" w:eastAsia="de-DE"/>
        </w:rPr>
      </w:pPr>
    </w:p>
    <w:p w14:paraId="1F9F8085" w14:textId="77777777" w:rsidR="002103D5" w:rsidRDefault="00000000">
      <w:pPr>
        <w:pStyle w:val="2"/>
        <w:rPr>
          <w:lang w:val="en-US"/>
        </w:rPr>
      </w:pPr>
      <w:r>
        <w:rPr>
          <w:lang w:val="en-US"/>
        </w:rPr>
        <w:t>Dry run</w:t>
      </w:r>
    </w:p>
    <w:p w14:paraId="45123A85" w14:textId="77777777" w:rsidR="002103D5" w:rsidRDefault="00000000">
      <w:pPr>
        <w:rPr>
          <w:lang w:val="en-US"/>
        </w:rPr>
      </w:pPr>
      <w:r>
        <w:rPr>
          <w:lang w:val="en-US"/>
        </w:rPr>
        <w:t>When the special operating mode “Dry run” is selected the ++ST010 Group the lifter +TV001 including the fixture +FX001 and all four robots will drive the normal process sequence without a part and without an actual process.</w:t>
      </w:r>
    </w:p>
    <w:p w14:paraId="675BCFBD" w14:textId="77777777" w:rsidR="002103D5" w:rsidRDefault="002103D5">
      <w:pPr>
        <w:rPr>
          <w:lang w:val="en-US"/>
        </w:rPr>
      </w:pPr>
    </w:p>
    <w:p w14:paraId="483D742E" w14:textId="77777777" w:rsidR="002103D5" w:rsidRDefault="00000000">
      <w:pPr>
        <w:rPr>
          <w:lang w:val="en-US"/>
        </w:rPr>
      </w:pPr>
      <w:r>
        <w:rPr>
          <w:lang w:val="en-US"/>
        </w:rPr>
        <w:t>Before the dry run will start, you must select one or more types that you want to do drive in dry run. Over the HMI buttons close to the station or in the detail screen of the station</w:t>
      </w:r>
    </w:p>
    <w:p w14:paraId="789EDF7A" w14:textId="77777777" w:rsidR="002103D5" w:rsidRDefault="002103D5">
      <w:pPr>
        <w:rPr>
          <w:lang w:val="en-US"/>
        </w:rPr>
      </w:pPr>
    </w:p>
    <w:p w14:paraId="01F03233" w14:textId="77777777" w:rsidR="002103D5" w:rsidRDefault="00000000">
      <w:pPr>
        <w:rPr>
          <w:rFonts w:eastAsia="宋体"/>
          <w:lang w:val="en-US" w:eastAsia="zh-CN"/>
        </w:rPr>
      </w:pPr>
      <w:r>
        <w:rPr>
          <w:rFonts w:eastAsia="宋体" w:hint="eastAsia"/>
          <w:noProof/>
          <w:lang w:val="en-US" w:eastAsia="zh-CN"/>
        </w:rPr>
        <w:drawing>
          <wp:inline distT="0" distB="0" distL="114300" distR="114300" wp14:anchorId="64573659" wp14:editId="00CCE6E7">
            <wp:extent cx="5757545" cy="4315460"/>
            <wp:effectExtent l="0" t="0" r="8255" b="2540"/>
            <wp:docPr id="10" name="图片 10"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1(1)"/>
                    <pic:cNvPicPr>
                      <a:picLocks noChangeAspect="1"/>
                    </pic:cNvPicPr>
                  </pic:nvPicPr>
                  <pic:blipFill>
                    <a:blip r:embed="rId13"/>
                    <a:stretch>
                      <a:fillRect/>
                    </a:stretch>
                  </pic:blipFill>
                  <pic:spPr>
                    <a:xfrm>
                      <a:off x="0" y="0"/>
                      <a:ext cx="5757545" cy="4315460"/>
                    </a:xfrm>
                    <a:prstGeom prst="rect">
                      <a:avLst/>
                    </a:prstGeom>
                  </pic:spPr>
                </pic:pic>
              </a:graphicData>
            </a:graphic>
          </wp:inline>
        </w:drawing>
      </w:r>
    </w:p>
    <w:p w14:paraId="76C29123" w14:textId="77777777" w:rsidR="002103D5" w:rsidRDefault="002103D5">
      <w:pPr>
        <w:rPr>
          <w:lang w:val="en-US" w:eastAsia="de-DE"/>
        </w:rPr>
      </w:pPr>
    </w:p>
    <w:p w14:paraId="2146D7EA" w14:textId="77777777" w:rsidR="002103D5" w:rsidRDefault="00000000">
      <w:pPr>
        <w:pStyle w:val="2"/>
        <w:rPr>
          <w:lang w:val="en-US"/>
        </w:rPr>
      </w:pPr>
      <w:r>
        <w:rPr>
          <w:lang w:val="en-US"/>
        </w:rPr>
        <w:lastRenderedPageBreak/>
        <w:t>Run empty</w:t>
      </w:r>
    </w:p>
    <w:p w14:paraId="35D601A7" w14:textId="72EDDA31" w:rsidR="002103D5" w:rsidRDefault="00000000">
      <w:pPr>
        <w:rPr>
          <w:lang w:val="en-US"/>
        </w:rPr>
      </w:pPr>
      <w:r>
        <w:rPr>
          <w:lang w:val="en-US"/>
        </w:rPr>
        <w:t>When the special operating mode “Run empty Group” is selected all clusters trying to enter the line will be stopped at the conveyor ++ST0</w:t>
      </w:r>
      <w:r w:rsidR="002E7D6A">
        <w:rPr>
          <w:rFonts w:eastAsiaTheme="minorEastAsia" w:hint="eastAsia"/>
          <w:lang w:val="en-US" w:eastAsia="zh-CN"/>
        </w:rPr>
        <w:t>5</w:t>
      </w:r>
      <w:r>
        <w:rPr>
          <w:lang w:val="en-US"/>
        </w:rPr>
        <w:t>0+TL00</w:t>
      </w:r>
      <w:r w:rsidR="002E7D6A">
        <w:rPr>
          <w:rFonts w:eastAsiaTheme="minorEastAsia" w:hint="eastAsia"/>
          <w:lang w:val="en-US" w:eastAsia="zh-CN"/>
        </w:rPr>
        <w:t>2</w:t>
      </w:r>
      <w:r>
        <w:rPr>
          <w:lang w:val="en-US"/>
        </w:rPr>
        <w:t xml:space="preserve"> in front of the laser cabin.</w:t>
      </w:r>
    </w:p>
    <w:p w14:paraId="6E0A2EBE" w14:textId="77777777" w:rsidR="002103D5" w:rsidRDefault="002103D5">
      <w:pPr>
        <w:rPr>
          <w:lang w:val="en-US" w:eastAsia="de-DE"/>
        </w:rPr>
      </w:pPr>
    </w:p>
    <w:p w14:paraId="17B02F61" w14:textId="77777777" w:rsidR="002103D5" w:rsidRDefault="002103D5">
      <w:pPr>
        <w:rPr>
          <w:lang w:val="en-US" w:eastAsia="de-DE"/>
        </w:rPr>
      </w:pPr>
    </w:p>
    <w:p w14:paraId="5D16558F" w14:textId="77777777" w:rsidR="002103D5" w:rsidRDefault="002103D5">
      <w:pPr>
        <w:rPr>
          <w:lang w:val="en-US" w:eastAsia="de-DE"/>
        </w:rPr>
      </w:pPr>
    </w:p>
    <w:p w14:paraId="3CDD2711" w14:textId="77777777" w:rsidR="002103D5" w:rsidRDefault="002103D5">
      <w:pPr>
        <w:rPr>
          <w:lang w:val="en-US" w:eastAsia="de-DE"/>
        </w:rPr>
      </w:pPr>
    </w:p>
    <w:p w14:paraId="0B308208" w14:textId="77777777" w:rsidR="002103D5" w:rsidRDefault="00000000">
      <w:pPr>
        <w:pStyle w:val="1"/>
        <w:rPr>
          <w:lang w:val="en-US"/>
        </w:rPr>
      </w:pPr>
      <w:bookmarkStart w:id="11" w:name="_Toc394326153"/>
      <w:r>
        <w:rPr>
          <w:lang w:val="en-US"/>
        </w:rPr>
        <w:lastRenderedPageBreak/>
        <w:t>Special functions</w:t>
      </w:r>
      <w:bookmarkEnd w:id="11"/>
    </w:p>
    <w:p w14:paraId="5EF931FD" w14:textId="77777777" w:rsidR="002103D5" w:rsidRDefault="002103D5">
      <w:pPr>
        <w:rPr>
          <w:lang w:val="en-US" w:eastAsia="de-DE"/>
        </w:rPr>
      </w:pPr>
    </w:p>
    <w:p w14:paraId="18FFA2E2" w14:textId="77777777" w:rsidR="002103D5" w:rsidRDefault="00000000">
      <w:pPr>
        <w:pStyle w:val="2"/>
        <w:rPr>
          <w:lang w:val="en-US"/>
        </w:rPr>
      </w:pPr>
      <w:r>
        <w:rPr>
          <w:lang w:val="en-US"/>
        </w:rPr>
        <w:t>Stop before / after buttons</w:t>
      </w:r>
    </w:p>
    <w:p w14:paraId="22188821" w14:textId="77777777" w:rsidR="002103D5" w:rsidRDefault="00000000">
      <w:pPr>
        <w:rPr>
          <w:lang w:val="en-US" w:eastAsia="de-DE"/>
        </w:rPr>
      </w:pPr>
      <w:r>
        <w:rPr>
          <w:noProof/>
          <w:lang w:val="en-US" w:eastAsia="de-DE"/>
        </w:rPr>
        <w:drawing>
          <wp:inline distT="0" distB="0" distL="0" distR="0" wp14:anchorId="4FC2D4FA" wp14:editId="00716958">
            <wp:extent cx="1724025" cy="140017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4"/>
                    <a:stretch>
                      <a:fillRect/>
                    </a:stretch>
                  </pic:blipFill>
                  <pic:spPr>
                    <a:xfrm>
                      <a:off x="0" y="0"/>
                      <a:ext cx="1724025" cy="1400175"/>
                    </a:xfrm>
                    <a:prstGeom prst="rect">
                      <a:avLst/>
                    </a:prstGeom>
                  </pic:spPr>
                </pic:pic>
              </a:graphicData>
            </a:graphic>
          </wp:inline>
        </w:drawing>
      </w:r>
    </w:p>
    <w:p w14:paraId="222B0D2B" w14:textId="77777777" w:rsidR="002103D5" w:rsidRDefault="002103D5">
      <w:pPr>
        <w:rPr>
          <w:lang w:val="en-US" w:eastAsia="de-DE"/>
        </w:rPr>
      </w:pPr>
    </w:p>
    <w:p w14:paraId="68A4E06B" w14:textId="77777777" w:rsidR="002103D5" w:rsidRDefault="00000000">
      <w:pPr>
        <w:rPr>
          <w:lang w:val="en-US" w:eastAsia="de-DE"/>
        </w:rPr>
      </w:pPr>
      <w:r>
        <w:rPr>
          <w:lang w:val="en-US" w:eastAsia="de-DE"/>
        </w:rPr>
        <w:t>To stop the sequence in a specific constellation you have four buttons in the detail screen of this station. Each button can be selected any time but will be active only when the sequence has reached the selected constellation. When any of the four buttons is active the sequence is halted until the active button is deselected again. So the production will stop even though the whole line remains in the “Automatic start” operating mode.</w:t>
      </w:r>
    </w:p>
    <w:p w14:paraId="184252BF" w14:textId="77777777" w:rsidR="002103D5" w:rsidRDefault="002103D5">
      <w:pPr>
        <w:rPr>
          <w:lang w:val="en-US" w:eastAsia="de-DE"/>
        </w:rPr>
      </w:pPr>
    </w:p>
    <w:p w14:paraId="436D361D" w14:textId="77777777" w:rsidR="002103D5" w:rsidRDefault="002103D5">
      <w:pPr>
        <w:rPr>
          <w:b/>
          <w:lang w:val="en-US" w:eastAsia="de-DE"/>
        </w:rPr>
      </w:pPr>
    </w:p>
    <w:p w14:paraId="4FC1D060" w14:textId="77777777" w:rsidR="002103D5" w:rsidRDefault="002103D5">
      <w:pPr>
        <w:rPr>
          <w:lang w:val="en-US" w:eastAsia="de-DE"/>
        </w:rPr>
      </w:pPr>
    </w:p>
    <w:p w14:paraId="5963C48C" w14:textId="77777777" w:rsidR="002103D5" w:rsidRDefault="00000000">
      <w:pPr>
        <w:rPr>
          <w:b/>
          <w:lang w:val="en-US" w:eastAsia="de-DE"/>
        </w:rPr>
      </w:pPr>
      <w:r>
        <w:rPr>
          <w:b/>
          <w:lang w:val="en-US" w:eastAsia="de-DE"/>
        </w:rPr>
        <w:t>Stop before process:</w:t>
      </w:r>
    </w:p>
    <w:p w14:paraId="6378083F" w14:textId="77777777" w:rsidR="002103D5" w:rsidRDefault="00000000">
      <w:pPr>
        <w:rPr>
          <w:lang w:val="en-US" w:eastAsia="de-DE"/>
        </w:rPr>
      </w:pPr>
      <w:r>
        <w:rPr>
          <w:lang w:val="en-US" w:eastAsia="de-DE"/>
        </w:rPr>
        <w:t xml:space="preserve">This button will stop the station before the process starts. After an unfinished part has entered the station and is prepared for the process. </w:t>
      </w:r>
    </w:p>
    <w:p w14:paraId="0EE14D7A" w14:textId="77777777" w:rsidR="002103D5" w:rsidRDefault="002103D5">
      <w:pPr>
        <w:rPr>
          <w:lang w:val="en-US" w:eastAsia="de-DE"/>
        </w:rPr>
      </w:pPr>
    </w:p>
    <w:p w14:paraId="74660D12" w14:textId="77777777" w:rsidR="002103D5" w:rsidRDefault="00000000">
      <w:pPr>
        <w:rPr>
          <w:b/>
          <w:lang w:val="en-US" w:eastAsia="de-DE"/>
        </w:rPr>
      </w:pPr>
      <w:r>
        <w:rPr>
          <w:b/>
          <w:lang w:val="en-US" w:eastAsia="de-DE"/>
        </w:rPr>
        <w:t>Stop after process:</w:t>
      </w:r>
    </w:p>
    <w:p w14:paraId="0A105DE2" w14:textId="77777777" w:rsidR="002103D5" w:rsidRDefault="00000000">
      <w:pPr>
        <w:rPr>
          <w:lang w:val="en-US" w:eastAsia="de-DE"/>
        </w:rPr>
      </w:pPr>
      <w:r>
        <w:rPr>
          <w:lang w:val="en-US" w:eastAsia="de-DE"/>
        </w:rPr>
        <w:t>This button will stop the station after finishing the process of the current part. The finished part will remain in the position required for the process.</w:t>
      </w:r>
    </w:p>
    <w:p w14:paraId="30EE61C6" w14:textId="77777777" w:rsidR="002103D5" w:rsidRDefault="002103D5">
      <w:pPr>
        <w:rPr>
          <w:lang w:val="en-US" w:eastAsia="de-DE"/>
        </w:rPr>
      </w:pPr>
    </w:p>
    <w:p w14:paraId="4429A506" w14:textId="77777777" w:rsidR="002103D5" w:rsidRDefault="002103D5">
      <w:pPr>
        <w:rPr>
          <w:b/>
          <w:lang w:val="en-US" w:eastAsia="de-DE"/>
        </w:rPr>
      </w:pPr>
    </w:p>
    <w:p w14:paraId="0CACA496" w14:textId="77777777" w:rsidR="002103D5" w:rsidRDefault="002103D5">
      <w:pPr>
        <w:rPr>
          <w:b/>
          <w:lang w:val="en-US" w:eastAsia="de-DE"/>
        </w:rPr>
      </w:pPr>
    </w:p>
    <w:p w14:paraId="5632B3F5" w14:textId="77777777" w:rsidR="002103D5" w:rsidRDefault="002103D5">
      <w:pPr>
        <w:rPr>
          <w:b/>
          <w:lang w:val="en-US" w:eastAsia="de-DE"/>
        </w:rPr>
      </w:pPr>
    </w:p>
    <w:p w14:paraId="722E90F2" w14:textId="77777777" w:rsidR="002103D5" w:rsidRDefault="002103D5">
      <w:pPr>
        <w:rPr>
          <w:b/>
          <w:lang w:val="en-US" w:eastAsia="de-DE"/>
        </w:rPr>
      </w:pPr>
    </w:p>
    <w:p w14:paraId="7F7B9709" w14:textId="77777777" w:rsidR="002103D5" w:rsidRDefault="002103D5">
      <w:pPr>
        <w:rPr>
          <w:b/>
          <w:lang w:val="en-US" w:eastAsia="de-DE"/>
        </w:rPr>
      </w:pPr>
    </w:p>
    <w:p w14:paraId="435E2FAD" w14:textId="77777777" w:rsidR="002103D5" w:rsidRDefault="002103D5">
      <w:pPr>
        <w:rPr>
          <w:b/>
          <w:lang w:val="en-US" w:eastAsia="de-DE"/>
        </w:rPr>
      </w:pPr>
    </w:p>
    <w:p w14:paraId="0F57DFFC" w14:textId="77777777" w:rsidR="002103D5" w:rsidRDefault="002103D5">
      <w:pPr>
        <w:rPr>
          <w:b/>
          <w:lang w:val="en-US" w:eastAsia="de-DE"/>
        </w:rPr>
      </w:pPr>
    </w:p>
    <w:p w14:paraId="39387BBF" w14:textId="77777777" w:rsidR="002103D5" w:rsidRDefault="002103D5">
      <w:pPr>
        <w:rPr>
          <w:b/>
          <w:lang w:val="en-US" w:eastAsia="de-DE"/>
        </w:rPr>
      </w:pPr>
    </w:p>
    <w:p w14:paraId="46F026E0" w14:textId="77777777" w:rsidR="002103D5" w:rsidRDefault="002103D5">
      <w:pPr>
        <w:rPr>
          <w:b/>
          <w:lang w:val="en-US" w:eastAsia="de-DE"/>
        </w:rPr>
      </w:pPr>
    </w:p>
    <w:p w14:paraId="06104D13" w14:textId="77777777" w:rsidR="002103D5" w:rsidRDefault="002103D5">
      <w:pPr>
        <w:rPr>
          <w:b/>
          <w:lang w:val="en-US" w:eastAsia="de-DE"/>
        </w:rPr>
      </w:pPr>
    </w:p>
    <w:p w14:paraId="3A698262" w14:textId="77777777" w:rsidR="002103D5" w:rsidRDefault="002103D5">
      <w:pPr>
        <w:rPr>
          <w:b/>
          <w:lang w:val="en-US" w:eastAsia="de-DE"/>
        </w:rPr>
      </w:pPr>
    </w:p>
    <w:p w14:paraId="7CBBB114" w14:textId="77777777" w:rsidR="002103D5" w:rsidRDefault="002103D5">
      <w:pPr>
        <w:rPr>
          <w:b/>
          <w:lang w:val="en-US" w:eastAsia="de-DE"/>
        </w:rPr>
      </w:pPr>
    </w:p>
    <w:p w14:paraId="47855768" w14:textId="77777777" w:rsidR="002103D5" w:rsidRDefault="002103D5">
      <w:pPr>
        <w:rPr>
          <w:b/>
          <w:lang w:val="en-US" w:eastAsia="de-DE"/>
        </w:rPr>
      </w:pPr>
    </w:p>
    <w:p w14:paraId="61771675" w14:textId="77777777" w:rsidR="002103D5" w:rsidRDefault="002103D5">
      <w:pPr>
        <w:rPr>
          <w:lang w:val="en-US" w:eastAsia="de-DE"/>
        </w:rPr>
      </w:pPr>
    </w:p>
    <w:p w14:paraId="30A57300" w14:textId="77777777" w:rsidR="002103D5" w:rsidRDefault="00000000">
      <w:pPr>
        <w:rPr>
          <w:lang w:val="en-US" w:eastAsia="de-DE"/>
        </w:rPr>
      </w:pPr>
      <w:r>
        <w:rPr>
          <w:lang w:val="en-US" w:eastAsia="de-DE"/>
        </w:rPr>
        <w:t xml:space="preserve"> The robot repeats the process until the count provided in the HMI for “Input MFU2 TF1 Cycle Count” is reached. Go inside to remove the processed coupons for inspection. Then deselect the button in the HMI to release all robots to drive to home position.</w:t>
      </w:r>
    </w:p>
    <w:p w14:paraId="5639A170" w14:textId="77777777" w:rsidR="002103D5" w:rsidRDefault="002103D5">
      <w:pPr>
        <w:rPr>
          <w:lang w:val="en-US" w:eastAsia="de-DE"/>
        </w:rPr>
      </w:pPr>
    </w:p>
    <w:p w14:paraId="6B45F013" w14:textId="77777777" w:rsidR="002103D5" w:rsidRDefault="002103D5">
      <w:pPr>
        <w:rPr>
          <w:lang w:val="en-US" w:eastAsia="de-DE"/>
        </w:rPr>
      </w:pPr>
    </w:p>
    <w:p w14:paraId="7517F0C0" w14:textId="77777777" w:rsidR="002103D5" w:rsidRDefault="00000000">
      <w:pPr>
        <w:pStyle w:val="1"/>
        <w:rPr>
          <w:lang w:val="en-US"/>
        </w:rPr>
      </w:pPr>
      <w:r>
        <w:rPr>
          <w:lang w:val="en-US"/>
        </w:rPr>
        <w:lastRenderedPageBreak/>
        <w:t>Available Types</w:t>
      </w:r>
    </w:p>
    <w:p w14:paraId="327BECAA" w14:textId="77777777" w:rsidR="002103D5" w:rsidRDefault="00000000">
      <w:pPr>
        <w:rPr>
          <w:lang w:val="en-US" w:eastAsia="de-DE"/>
        </w:rPr>
      </w:pPr>
      <w:r>
        <w:rPr>
          <w:noProof/>
        </w:rPr>
        <w:drawing>
          <wp:inline distT="0" distB="0" distL="0" distR="0" wp14:anchorId="7943B7CA" wp14:editId="220E5386">
            <wp:extent cx="5757893" cy="3666653"/>
            <wp:effectExtent l="0" t="0" r="0" b="0"/>
            <wp:docPr id="8"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3"/>
                    <pic:cNvPicPr>
                      <a:picLocks noChangeAspect="1" noChangeArrowheads="1"/>
                    </pic:cNvPicPr>
                  </pic:nvPicPr>
                  <pic:blipFill rotWithShape="1">
                    <a:blip r:embed="rId15">
                      <a:extLst>
                        <a:ext uri="{28A0092B-C50C-407E-A947-70E740481C1C}">
                          <a14:useLocalDpi xmlns:a14="http://schemas.microsoft.com/office/drawing/2010/main" val="0"/>
                        </a:ext>
                      </a:extLst>
                    </a:blip>
                    <a:srcRect t="-3741" b="17154"/>
                    <a:stretch>
                      <a:fillRect/>
                    </a:stretch>
                  </pic:blipFill>
                  <pic:spPr bwMode="auto">
                    <a:xfrm>
                      <a:off x="0" y="0"/>
                      <a:ext cx="5760085" cy="3668049"/>
                    </a:xfrm>
                    <a:prstGeom prst="rect">
                      <a:avLst/>
                    </a:prstGeom>
                    <a:ln>
                      <a:noFill/>
                    </a:ln>
                    <a:extLst>
                      <a:ext uri="{53640926-AAD7-44D8-BBD7-CCE9431645EC}">
                        <a14:shadowObscured xmlns:a14="http://schemas.microsoft.com/office/drawing/2010/main"/>
                      </a:ext>
                    </a:extLst>
                  </pic:spPr>
                </pic:pic>
              </a:graphicData>
            </a:graphic>
          </wp:inline>
        </w:drawing>
      </w:r>
    </w:p>
    <w:p w14:paraId="5732F36C" w14:textId="77777777" w:rsidR="002103D5" w:rsidRDefault="002103D5">
      <w:pPr>
        <w:rPr>
          <w:lang w:val="en-US" w:eastAsia="de-DE"/>
        </w:rPr>
      </w:pPr>
    </w:p>
    <w:p w14:paraId="58B162E1" w14:textId="77777777" w:rsidR="002103D5" w:rsidRDefault="00000000">
      <w:pPr>
        <w:rPr>
          <w:lang w:val="en-US" w:eastAsia="de-DE"/>
        </w:rPr>
      </w:pPr>
      <w:r>
        <w:rPr>
          <w:lang w:val="en-US" w:eastAsia="de-DE"/>
        </w:rPr>
        <w:t xml:space="preserve">In this station there are two types available for the type dataplaces. </w:t>
      </w:r>
    </w:p>
    <w:p w14:paraId="282B3A1D" w14:textId="77777777" w:rsidR="002103D5" w:rsidRDefault="002103D5">
      <w:pPr>
        <w:rPr>
          <w:lang w:val="en-US" w:eastAsia="de-DE"/>
        </w:rPr>
      </w:pPr>
    </w:p>
    <w:p w14:paraId="7DFD4BAF" w14:textId="77777777" w:rsidR="00237F29" w:rsidRDefault="00237F29" w:rsidP="00237F29">
      <w:pPr>
        <w:rPr>
          <w:lang w:val="en-US" w:eastAsia="de-DE"/>
        </w:rPr>
      </w:pPr>
      <w:r w:rsidRPr="001260A1">
        <w:rPr>
          <w:rFonts w:eastAsiaTheme="minorEastAsia" w:hint="eastAsia"/>
          <w:b/>
          <w:lang w:val="en-US" w:eastAsia="zh-CN"/>
        </w:rPr>
        <w:t>S_EUSG</w:t>
      </w:r>
      <w:r>
        <w:rPr>
          <w:b/>
          <w:lang w:val="en-US" w:eastAsia="de-DE"/>
        </w:rPr>
        <w:t>:</w:t>
      </w:r>
      <w:r>
        <w:rPr>
          <w:lang w:val="en-US" w:eastAsia="de-DE"/>
        </w:rPr>
        <w:t xml:space="preserve"> Is the Type number 1. It is the smaller cluster of cells </w:t>
      </w:r>
    </w:p>
    <w:p w14:paraId="794D6D62" w14:textId="77777777" w:rsidR="00237F29" w:rsidRDefault="00237F29" w:rsidP="00237F29">
      <w:pPr>
        <w:rPr>
          <w:lang w:val="en-US" w:eastAsia="de-DE"/>
        </w:rPr>
      </w:pPr>
    </w:p>
    <w:p w14:paraId="2A6A4FB3" w14:textId="77777777" w:rsidR="00237F29" w:rsidRDefault="00237F29" w:rsidP="00237F29">
      <w:pPr>
        <w:rPr>
          <w:lang w:val="en-US" w:eastAsia="de-DE"/>
        </w:rPr>
      </w:pPr>
      <w:r w:rsidRPr="001260A1">
        <w:rPr>
          <w:rFonts w:eastAsiaTheme="minorEastAsia" w:hint="eastAsia"/>
          <w:b/>
          <w:lang w:val="en-US" w:eastAsia="zh-CN"/>
        </w:rPr>
        <w:t>S_CKSB</w:t>
      </w:r>
      <w:r>
        <w:rPr>
          <w:b/>
          <w:lang w:val="en-US" w:eastAsia="de-DE"/>
        </w:rPr>
        <w:t>:</w:t>
      </w:r>
      <w:r>
        <w:rPr>
          <w:lang w:val="en-US" w:eastAsia="de-DE"/>
        </w:rPr>
        <w:t xml:space="preserve"> Is the Type number 2. It is the smaller cluster of cells </w:t>
      </w:r>
    </w:p>
    <w:p w14:paraId="4B804CAF" w14:textId="77777777" w:rsidR="00237F29" w:rsidRDefault="00237F29" w:rsidP="00237F29">
      <w:pPr>
        <w:rPr>
          <w:lang w:val="en-US" w:eastAsia="de-DE"/>
        </w:rPr>
      </w:pPr>
    </w:p>
    <w:p w14:paraId="140ABA6E" w14:textId="77777777" w:rsidR="00237F29" w:rsidRDefault="00237F29" w:rsidP="00237F29">
      <w:pPr>
        <w:rPr>
          <w:b/>
          <w:bCs/>
          <w:lang w:val="en-US" w:eastAsia="de-DE"/>
        </w:rPr>
      </w:pPr>
      <w:r w:rsidRPr="001260A1">
        <w:rPr>
          <w:rFonts w:eastAsiaTheme="minorEastAsia" w:hint="eastAsia"/>
          <w:b/>
          <w:bCs/>
          <w:lang w:val="en-US" w:eastAsia="zh-CN"/>
        </w:rPr>
        <w:t>S_CKSG</w:t>
      </w:r>
      <w:r>
        <w:rPr>
          <w:b/>
          <w:bCs/>
          <w:lang w:val="en-US" w:eastAsia="de-DE"/>
        </w:rPr>
        <w:t xml:space="preserve">: </w:t>
      </w:r>
      <w:r>
        <w:rPr>
          <w:lang w:val="en-US" w:eastAsia="de-DE"/>
        </w:rPr>
        <w:t xml:space="preserve">Is the Type number 3. It is the smaller cluster of cells </w:t>
      </w:r>
    </w:p>
    <w:p w14:paraId="7A9ED42A" w14:textId="77777777" w:rsidR="00237F29" w:rsidRDefault="00237F29" w:rsidP="00237F29">
      <w:pPr>
        <w:rPr>
          <w:b/>
          <w:bCs/>
          <w:lang w:val="en-US" w:eastAsia="de-DE"/>
        </w:rPr>
      </w:pPr>
    </w:p>
    <w:p w14:paraId="3A3E5707" w14:textId="77777777" w:rsidR="00237F29" w:rsidRDefault="00237F29" w:rsidP="00237F29">
      <w:pPr>
        <w:rPr>
          <w:rFonts w:eastAsiaTheme="minorEastAsia"/>
          <w:lang w:val="en-US" w:eastAsia="zh-CN"/>
        </w:rPr>
      </w:pPr>
      <w:r w:rsidRPr="001260A1">
        <w:rPr>
          <w:rFonts w:eastAsiaTheme="minorEastAsia" w:hint="eastAsia"/>
          <w:b/>
          <w:bCs/>
          <w:lang w:val="en-US" w:eastAsia="zh-CN"/>
        </w:rPr>
        <w:t>M_EKSG</w:t>
      </w:r>
      <w:r>
        <w:rPr>
          <w:b/>
          <w:bCs/>
          <w:lang w:val="en-US" w:eastAsia="de-DE"/>
        </w:rPr>
        <w:t>:</w:t>
      </w:r>
      <w:r>
        <w:rPr>
          <w:lang w:val="en-US" w:eastAsia="de-DE"/>
        </w:rPr>
        <w:t xml:space="preserve"> Is the Type number 4. It is the larger cluster of cells </w:t>
      </w:r>
    </w:p>
    <w:p w14:paraId="049D867B" w14:textId="77777777" w:rsidR="00237F29" w:rsidRPr="00803FAC" w:rsidRDefault="00237F29" w:rsidP="00237F29">
      <w:pPr>
        <w:rPr>
          <w:rFonts w:eastAsiaTheme="minorEastAsia"/>
          <w:b/>
          <w:bCs/>
          <w:lang w:val="en-US" w:eastAsia="zh-CN"/>
        </w:rPr>
      </w:pPr>
    </w:p>
    <w:p w14:paraId="2A3CD57B" w14:textId="77777777" w:rsidR="00237F29" w:rsidRDefault="00237F29" w:rsidP="00237F29">
      <w:pPr>
        <w:rPr>
          <w:rFonts w:eastAsiaTheme="minorEastAsia"/>
          <w:lang w:val="en-US" w:eastAsia="zh-CN"/>
        </w:rPr>
      </w:pPr>
      <w:r>
        <w:rPr>
          <w:rFonts w:eastAsiaTheme="minorEastAsia" w:hint="eastAsia"/>
          <w:b/>
          <w:bCs/>
          <w:lang w:val="en-US" w:eastAsia="zh-CN"/>
        </w:rPr>
        <w:t>MHEKSG</w:t>
      </w:r>
      <w:r>
        <w:rPr>
          <w:b/>
          <w:bCs/>
          <w:lang w:val="en-US" w:eastAsia="de-DE"/>
        </w:rPr>
        <w:t>:</w:t>
      </w:r>
      <w:r>
        <w:rPr>
          <w:lang w:val="en-US" w:eastAsia="de-DE"/>
        </w:rPr>
        <w:t xml:space="preserve"> Is the Type number </w:t>
      </w:r>
      <w:r>
        <w:rPr>
          <w:rFonts w:eastAsiaTheme="minorEastAsia" w:hint="eastAsia"/>
          <w:lang w:val="en-US" w:eastAsia="zh-CN"/>
        </w:rPr>
        <w:t>5</w:t>
      </w:r>
      <w:r>
        <w:rPr>
          <w:lang w:val="en-US" w:eastAsia="de-DE"/>
        </w:rPr>
        <w:t>. It is the larger cluster of cells</w:t>
      </w:r>
    </w:p>
    <w:p w14:paraId="7AD69D62" w14:textId="77777777" w:rsidR="00237F29" w:rsidRPr="00803FAC" w:rsidRDefault="00237F29" w:rsidP="00237F29">
      <w:pPr>
        <w:rPr>
          <w:rFonts w:eastAsiaTheme="minorEastAsia"/>
          <w:b/>
          <w:bCs/>
          <w:lang w:val="en-US" w:eastAsia="zh-CN"/>
        </w:rPr>
      </w:pPr>
    </w:p>
    <w:p w14:paraId="1660A04E" w14:textId="77777777" w:rsidR="00237F29" w:rsidRPr="00803FAC" w:rsidRDefault="00237F29" w:rsidP="00237F29">
      <w:pPr>
        <w:rPr>
          <w:rFonts w:eastAsiaTheme="minorEastAsia"/>
          <w:b/>
          <w:bCs/>
          <w:lang w:val="en-US" w:eastAsia="zh-CN"/>
        </w:rPr>
      </w:pPr>
      <w:r w:rsidRPr="00803FAC">
        <w:rPr>
          <w:rFonts w:eastAsiaTheme="minorEastAsia" w:hint="eastAsia"/>
          <w:b/>
          <w:bCs/>
          <w:lang w:val="en-US" w:eastAsia="zh-CN"/>
        </w:rPr>
        <w:t>M_EKSB</w:t>
      </w:r>
      <w:r>
        <w:rPr>
          <w:b/>
          <w:bCs/>
          <w:lang w:val="en-US" w:eastAsia="de-DE"/>
        </w:rPr>
        <w:t>:</w:t>
      </w:r>
      <w:r>
        <w:rPr>
          <w:lang w:val="en-US" w:eastAsia="de-DE"/>
        </w:rPr>
        <w:t xml:space="preserve"> Is the Type number </w:t>
      </w:r>
      <w:r>
        <w:rPr>
          <w:rFonts w:eastAsiaTheme="minorEastAsia" w:hint="eastAsia"/>
          <w:lang w:val="en-US" w:eastAsia="zh-CN"/>
        </w:rPr>
        <w:t>6</w:t>
      </w:r>
      <w:r>
        <w:rPr>
          <w:lang w:val="en-US" w:eastAsia="de-DE"/>
        </w:rPr>
        <w:t>. It is the larger cluster of cells</w:t>
      </w:r>
    </w:p>
    <w:p w14:paraId="6C7EA41C" w14:textId="77777777" w:rsidR="002103D5" w:rsidRPr="00237F29" w:rsidRDefault="002103D5">
      <w:pPr>
        <w:rPr>
          <w:lang w:val="en-US" w:eastAsia="de-DE"/>
        </w:rPr>
      </w:pPr>
    </w:p>
    <w:p w14:paraId="516AB0DE" w14:textId="77777777" w:rsidR="002103D5" w:rsidRDefault="002103D5">
      <w:pPr>
        <w:rPr>
          <w:lang w:val="en-US" w:eastAsia="de-DE"/>
        </w:rPr>
      </w:pPr>
    </w:p>
    <w:p w14:paraId="051027AB" w14:textId="77777777" w:rsidR="002103D5" w:rsidRDefault="002103D5">
      <w:pPr>
        <w:rPr>
          <w:lang w:val="en-US" w:eastAsia="de-DE"/>
        </w:rPr>
      </w:pPr>
    </w:p>
    <w:p w14:paraId="57CE77A1" w14:textId="77777777" w:rsidR="002103D5" w:rsidRDefault="002103D5">
      <w:pPr>
        <w:rPr>
          <w:lang w:val="en-US" w:eastAsia="de-DE"/>
        </w:rPr>
      </w:pPr>
    </w:p>
    <w:sectPr w:rsidR="002103D5">
      <w:headerReference w:type="default" r:id="rId16"/>
      <w:footerReference w:type="default" r:id="rId17"/>
      <w:headerReference w:type="first" r:id="rId18"/>
      <w:footerReference w:type="first" r:id="rId19"/>
      <w:pgSz w:w="11906" w:h="16838"/>
      <w:pgMar w:top="1134" w:right="1418" w:bottom="1134" w:left="1418" w:header="567" w:footer="567" w:gutter="0"/>
      <w:cols w:space="720"/>
      <w:formProt w:val="0"/>
      <w:titlePg/>
      <w:docGrid w:linePitch="272"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56A59" w14:textId="77777777" w:rsidR="00197A73" w:rsidRDefault="00197A73">
      <w:r>
        <w:separator/>
      </w:r>
    </w:p>
  </w:endnote>
  <w:endnote w:type="continuationSeparator" w:id="0">
    <w:p w14:paraId="4F0A88CB" w14:textId="77777777" w:rsidR="00197A73" w:rsidRDefault="00197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roman"/>
    <w:pitch w:val="default"/>
  </w:font>
  <w:font w:name="Arial Unicode MS">
    <w:panose1 w:val="020B0604020202020204"/>
    <w:charset w:val="00"/>
    <w:family w:val="roman"/>
    <w:pitch w:val="default"/>
  </w:font>
  <w:font w:name="Liberation Sans">
    <w:altName w:val="Arial"/>
    <w:charset w:val="00"/>
    <w:family w:val="roman"/>
    <w:pitch w:val="default"/>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64" w:type="dxa"/>
      <w:tblInd w:w="8" w:type="dxa"/>
      <w:tblLayout w:type="fixed"/>
      <w:tblCellMar>
        <w:left w:w="0" w:type="dxa"/>
        <w:right w:w="0" w:type="dxa"/>
      </w:tblCellMar>
      <w:tblLook w:val="04A0" w:firstRow="1" w:lastRow="0" w:firstColumn="1" w:lastColumn="0" w:noHBand="0" w:noVBand="1"/>
    </w:tblPr>
    <w:tblGrid>
      <w:gridCol w:w="3825"/>
      <w:gridCol w:w="2827"/>
      <w:gridCol w:w="1143"/>
      <w:gridCol w:w="1269"/>
    </w:tblGrid>
    <w:tr w:rsidR="002103D5" w14:paraId="5D7DBCF8" w14:textId="77777777">
      <w:tc>
        <w:tcPr>
          <w:tcW w:w="3825" w:type="dxa"/>
          <w:tcBorders>
            <w:top w:val="single" w:sz="6" w:space="0" w:color="000000"/>
          </w:tcBorders>
        </w:tcPr>
        <w:p w14:paraId="6C72E51E" w14:textId="77777777" w:rsidR="002103D5" w:rsidRDefault="00000000">
          <w:pPr>
            <w:pStyle w:val="Break"/>
            <w:rPr>
              <w:lang w:val="en-US"/>
            </w:rPr>
          </w:pPr>
          <w:r>
            <w:rPr>
              <w:lang w:val="en-US"/>
            </w:rPr>
            <w:t>Name Creator</w:t>
          </w:r>
        </w:p>
        <w:p w14:paraId="0ECCA278" w14:textId="0E3AA22F" w:rsidR="002103D5" w:rsidRDefault="00237F29">
          <w:pPr>
            <w:pStyle w:val="Break"/>
            <w:rPr>
              <w:lang w:val="en-US"/>
            </w:rPr>
          </w:pPr>
          <w:r w:rsidRPr="00924060">
            <w:rPr>
              <w:b/>
              <w:lang w:val="en-US"/>
            </w:rPr>
            <w:t>FFT Produktionssysteme</w:t>
          </w:r>
          <w:r w:rsidRPr="00924060">
            <w:rPr>
              <w:rFonts w:eastAsia="宋体" w:hint="eastAsia"/>
              <w:b/>
              <w:lang w:val="en-US" w:eastAsia="zh-CN"/>
            </w:rPr>
            <w:t xml:space="preserve"> GmbH &amp; Co. </w:t>
          </w:r>
          <w:r w:rsidRPr="00F826AD">
            <w:rPr>
              <w:rFonts w:eastAsia="宋体" w:hint="eastAsia"/>
              <w:b/>
              <w:lang w:eastAsia="zh-CN"/>
            </w:rPr>
            <w:t>KG</w:t>
          </w:r>
        </w:p>
      </w:tc>
      <w:tc>
        <w:tcPr>
          <w:tcW w:w="2827" w:type="dxa"/>
          <w:tcBorders>
            <w:top w:val="single" w:sz="6" w:space="0" w:color="000000"/>
          </w:tcBorders>
        </w:tcPr>
        <w:p w14:paraId="5B817EBA" w14:textId="77777777" w:rsidR="002103D5" w:rsidRDefault="002103D5">
          <w:pPr>
            <w:pStyle w:val="Break"/>
            <w:rPr>
              <w:lang w:val="en-US"/>
            </w:rPr>
          </w:pPr>
        </w:p>
      </w:tc>
      <w:tc>
        <w:tcPr>
          <w:tcW w:w="2412" w:type="dxa"/>
          <w:gridSpan w:val="2"/>
          <w:tcBorders>
            <w:top w:val="single" w:sz="6" w:space="0" w:color="000000"/>
          </w:tcBorders>
        </w:tcPr>
        <w:p w14:paraId="11E79B10" w14:textId="77777777" w:rsidR="002103D5" w:rsidRDefault="00000000">
          <w:pPr>
            <w:pStyle w:val="Break"/>
            <w:jc w:val="right"/>
          </w:pPr>
          <w:r>
            <w:t>Version 1</w:t>
          </w:r>
        </w:p>
        <w:p w14:paraId="7D346117" w14:textId="18BC288F" w:rsidR="002103D5" w:rsidRDefault="00000000">
          <w:pPr>
            <w:pStyle w:val="Break"/>
            <w:jc w:val="right"/>
            <w:rPr>
              <w:lang w:val="en-US"/>
            </w:rPr>
          </w:pPr>
          <w:r>
            <w:t xml:space="preserve"> 1</w:t>
          </w:r>
          <w:r w:rsidR="00237F29">
            <w:rPr>
              <w:rFonts w:eastAsia="宋体" w:hint="eastAsia"/>
              <w:lang w:val="en-US" w:eastAsia="zh-CN"/>
            </w:rPr>
            <w:t>6</w:t>
          </w:r>
          <w:r>
            <w:rPr>
              <w:vertAlign w:val="superscript"/>
            </w:rPr>
            <w:t>th</w:t>
          </w:r>
          <w:r>
            <w:t xml:space="preserve"> </w:t>
          </w:r>
          <w:r w:rsidR="00237F29">
            <w:rPr>
              <w:rFonts w:eastAsiaTheme="minorEastAsia" w:hint="eastAsia"/>
              <w:lang w:eastAsia="zh-CN"/>
            </w:rPr>
            <w:t>May</w:t>
          </w:r>
          <w:r>
            <w:t xml:space="preserve"> 202</w:t>
          </w:r>
          <w:r>
            <w:rPr>
              <w:rFonts w:eastAsia="宋体" w:hint="eastAsia"/>
              <w:lang w:val="en-US" w:eastAsia="zh-CN"/>
            </w:rPr>
            <w:t>6</w:t>
          </w:r>
        </w:p>
      </w:tc>
    </w:tr>
    <w:tr w:rsidR="002103D5" w14:paraId="6C8F4978" w14:textId="77777777">
      <w:tc>
        <w:tcPr>
          <w:tcW w:w="7795" w:type="dxa"/>
          <w:gridSpan w:val="3"/>
        </w:tcPr>
        <w:p w14:paraId="3BC75B9F" w14:textId="77777777" w:rsidR="002103D5" w:rsidRDefault="00000000">
          <w:pPr>
            <w:pStyle w:val="Break"/>
            <w:rPr>
              <w:lang w:val="en-US"/>
            </w:rPr>
          </w:pPr>
          <w:r>
            <w:rPr>
              <w:sz w:val="18"/>
              <w:lang w:val="en-US"/>
            </w:rPr>
            <w:fldChar w:fldCharType="begin"/>
          </w:r>
          <w:r>
            <w:rPr>
              <w:sz w:val="18"/>
              <w:lang w:val="en-US"/>
            </w:rPr>
            <w:instrText xml:space="preserve"> FILENAME </w:instrText>
          </w:r>
          <w:r>
            <w:rPr>
              <w:sz w:val="18"/>
              <w:lang w:val="en-US"/>
            </w:rPr>
            <w:fldChar w:fldCharType="separate"/>
          </w:r>
          <w:r>
            <w:rPr>
              <w:sz w:val="18"/>
              <w:lang w:val="en-US"/>
            </w:rPr>
            <w:t>MAN_0</w:t>
          </w:r>
          <w:r>
            <w:rPr>
              <w:rFonts w:eastAsia="宋体" w:hint="eastAsia"/>
              <w:sz w:val="18"/>
              <w:lang w:val="en-US" w:eastAsia="zh-CN"/>
            </w:rPr>
            <w:t>10</w:t>
          </w:r>
          <w:r>
            <w:rPr>
              <w:sz w:val="18"/>
              <w:lang w:val="en-US"/>
            </w:rPr>
            <w:t>01_Manual_SG1</w:t>
          </w:r>
          <w:r>
            <w:rPr>
              <w:rFonts w:eastAsia="宋体" w:hint="eastAsia"/>
              <w:sz w:val="18"/>
              <w:lang w:val="en-US" w:eastAsia="zh-CN"/>
            </w:rPr>
            <w:t>0</w:t>
          </w:r>
          <w:r>
            <w:rPr>
              <w:sz w:val="18"/>
              <w:lang w:val="en-US"/>
            </w:rPr>
            <w:t>.docx</w:t>
          </w:r>
          <w:r>
            <w:rPr>
              <w:sz w:val="18"/>
              <w:lang w:val="en-US"/>
            </w:rPr>
            <w:fldChar w:fldCharType="end"/>
          </w:r>
        </w:p>
      </w:tc>
      <w:tc>
        <w:tcPr>
          <w:tcW w:w="1269" w:type="dxa"/>
        </w:tcPr>
        <w:p w14:paraId="6A12C152" w14:textId="77777777" w:rsidR="002103D5" w:rsidRDefault="002103D5">
          <w:pPr>
            <w:pStyle w:val="Break"/>
            <w:jc w:val="right"/>
          </w:pPr>
        </w:p>
      </w:tc>
    </w:tr>
  </w:tbl>
  <w:p w14:paraId="500262E6" w14:textId="77777777" w:rsidR="002103D5" w:rsidRDefault="002103D5">
    <w:pPr>
      <w:pStyle w:val="Break"/>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8BA32" w14:textId="77777777" w:rsidR="002103D5" w:rsidRDefault="002103D5">
    <w:pPr>
      <w:pStyle w:val="a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00EEE" w14:textId="77777777" w:rsidR="00197A73" w:rsidRDefault="00197A73">
      <w:r>
        <w:separator/>
      </w:r>
    </w:p>
  </w:footnote>
  <w:footnote w:type="continuationSeparator" w:id="0">
    <w:p w14:paraId="275F4B94" w14:textId="77777777" w:rsidR="00197A73" w:rsidRDefault="00197A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Ind w:w="8" w:type="dxa"/>
      <w:tblLayout w:type="fixed"/>
      <w:tblCellMar>
        <w:left w:w="0" w:type="dxa"/>
        <w:right w:w="0" w:type="dxa"/>
      </w:tblCellMar>
      <w:tblLook w:val="04A0" w:firstRow="1" w:lastRow="0" w:firstColumn="1" w:lastColumn="0" w:noHBand="0" w:noVBand="1"/>
    </w:tblPr>
    <w:tblGrid>
      <w:gridCol w:w="7800"/>
      <w:gridCol w:w="1272"/>
    </w:tblGrid>
    <w:tr w:rsidR="002103D5" w14:paraId="4E930607" w14:textId="77777777">
      <w:tc>
        <w:tcPr>
          <w:tcW w:w="7799" w:type="dxa"/>
        </w:tcPr>
        <w:p w14:paraId="11AD451F" w14:textId="77777777" w:rsidR="002103D5" w:rsidRDefault="002103D5">
          <w:pPr>
            <w:pStyle w:val="Break"/>
            <w:rPr>
              <w:lang w:val="en-GB"/>
            </w:rPr>
          </w:pPr>
        </w:p>
      </w:tc>
      <w:tc>
        <w:tcPr>
          <w:tcW w:w="1272" w:type="dxa"/>
        </w:tcPr>
        <w:p w14:paraId="3F417E31" w14:textId="77777777" w:rsidR="002103D5" w:rsidRDefault="00000000">
          <w:pPr>
            <w:pStyle w:val="Break"/>
            <w:jc w:val="right"/>
            <w:rPr>
              <w:lang w:val="en-US"/>
            </w:rPr>
          </w:pPr>
          <w:r>
            <w:rPr>
              <w:lang w:val="en-US"/>
            </w:rPr>
            <w:t xml:space="preserve">Page </w:t>
          </w:r>
          <w:r>
            <w:rPr>
              <w:lang w:val="en-US"/>
            </w:rPr>
            <w:fldChar w:fldCharType="begin"/>
          </w:r>
          <w:r>
            <w:rPr>
              <w:lang w:val="en-US"/>
            </w:rPr>
            <w:instrText xml:space="preserve"> PAGE </w:instrText>
          </w:r>
          <w:r>
            <w:rPr>
              <w:lang w:val="en-US"/>
            </w:rPr>
            <w:fldChar w:fldCharType="separate"/>
          </w:r>
          <w:r>
            <w:rPr>
              <w:lang w:val="en-US"/>
            </w:rPr>
            <w:t>7</w:t>
          </w:r>
          <w:r>
            <w:rPr>
              <w:lang w:val="en-US"/>
            </w:rPr>
            <w:fldChar w:fldCharType="end"/>
          </w:r>
        </w:p>
      </w:tc>
    </w:tr>
    <w:tr w:rsidR="002103D5" w14:paraId="75EC58CE" w14:textId="77777777">
      <w:tc>
        <w:tcPr>
          <w:tcW w:w="7799" w:type="dxa"/>
          <w:tcBorders>
            <w:bottom w:val="single" w:sz="2" w:space="0" w:color="000000"/>
          </w:tcBorders>
        </w:tcPr>
        <w:p w14:paraId="795B076B" w14:textId="77777777" w:rsidR="002103D5" w:rsidRDefault="00000000">
          <w:pPr>
            <w:pStyle w:val="Break"/>
            <w:rPr>
              <w:lang w:val="en-US"/>
            </w:rPr>
          </w:pPr>
          <w:r>
            <w:rPr>
              <w:lang w:val="en-US"/>
            </w:rPr>
            <w:t>V8 Manual</w:t>
          </w:r>
        </w:p>
      </w:tc>
      <w:tc>
        <w:tcPr>
          <w:tcW w:w="1272" w:type="dxa"/>
          <w:tcBorders>
            <w:bottom w:val="single" w:sz="2" w:space="0" w:color="000000"/>
          </w:tcBorders>
        </w:tcPr>
        <w:p w14:paraId="34387BA6" w14:textId="77777777" w:rsidR="002103D5" w:rsidRDefault="00000000">
          <w:pPr>
            <w:pStyle w:val="Break"/>
            <w:jc w:val="right"/>
            <w:rPr>
              <w:lang w:val="en-US"/>
            </w:rPr>
          </w:pPr>
          <w:r>
            <w:rPr>
              <w:lang w:val="en-US"/>
            </w:rPr>
            <w:t xml:space="preserve">of </w:t>
          </w:r>
          <w:r>
            <w:rPr>
              <w:lang w:val="en-US"/>
            </w:rPr>
            <w:fldChar w:fldCharType="begin"/>
          </w:r>
          <w:r>
            <w:rPr>
              <w:lang w:val="en-US"/>
            </w:rPr>
            <w:instrText xml:space="preserve"> NUMPAGES </w:instrText>
          </w:r>
          <w:r>
            <w:rPr>
              <w:lang w:val="en-US"/>
            </w:rPr>
            <w:fldChar w:fldCharType="separate"/>
          </w:r>
          <w:r>
            <w:rPr>
              <w:lang w:val="en-US"/>
            </w:rPr>
            <w:t>9</w:t>
          </w:r>
          <w:r>
            <w:rPr>
              <w:lang w:val="en-US"/>
            </w:rPr>
            <w:fldChar w:fldCharType="end"/>
          </w:r>
        </w:p>
      </w:tc>
    </w:tr>
  </w:tbl>
  <w:p w14:paraId="0717DE4F" w14:textId="77777777" w:rsidR="002103D5" w:rsidRDefault="002103D5">
    <w:pPr>
      <w:pStyle w:val="ab"/>
      <w:pBdr>
        <w:bottom w:val="none" w:sz="0" w:space="0" w:color="auto"/>
      </w:pBdr>
      <w:tabs>
        <w:tab w:val="clear" w:pos="7938"/>
        <w:tab w:val="right" w:pos="9072"/>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73EAC" w14:textId="77777777" w:rsidR="002103D5" w:rsidRDefault="00000000">
    <w:pPr>
      <w:pStyle w:val="BMW"/>
      <w:rPr>
        <w:lang w:val="en-GB"/>
      </w:rPr>
    </w:pPr>
    <w:r>
      <w:rPr>
        <w:lang w:val="en-GB"/>
      </w:rPr>
      <w:t>BMW Group</w:t>
    </w:r>
    <w:r>
      <w:rPr>
        <w:lang w:val="en-GB"/>
      </w:rPr>
      <w:tab/>
    </w:r>
    <w:r>
      <w:rPr>
        <w:lang w:val="en-GB"/>
      </w:rPr>
      <w:tab/>
    </w:r>
  </w:p>
  <w:p w14:paraId="6F0C1EAE" w14:textId="77777777" w:rsidR="002103D5" w:rsidRDefault="002103D5">
    <w:pPr>
      <w:pStyle w:val="Abteilung"/>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bullet"/>
      <w:pStyle w:val="AusfllhinwAufz"/>
      <w:lvlText w:val=""/>
      <w:lvlJc w:val="left"/>
      <w:pPr>
        <w:tabs>
          <w:tab w:val="left" w:pos="1080"/>
        </w:tabs>
        <w:ind w:left="1080" w:hanging="360"/>
      </w:pPr>
      <w:rPr>
        <w:rFonts w:ascii="Wingdings" w:hAnsi="Wingdings" w:cs="Wingdings" w:hint="default"/>
        <w:sz w:val="20"/>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1" w15:restartNumberingAfterBreak="0">
    <w:nsid w:val="BF205925"/>
    <w:multiLevelType w:val="multilevel"/>
    <w:tmpl w:val="BF205925"/>
    <w:lvl w:ilvl="0">
      <w:start w:val="1"/>
      <w:numFmt w:val="bullet"/>
      <w:pStyle w:val="Aufzhlung"/>
      <w:lvlText w:val=""/>
      <w:lvlJc w:val="left"/>
      <w:pPr>
        <w:tabs>
          <w:tab w:val="left" w:pos="720"/>
        </w:tabs>
        <w:ind w:left="720" w:hanging="360"/>
      </w:pPr>
      <w:rPr>
        <w:rFonts w:ascii="Symbol" w:hAnsi="Symbol" w:cs="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2" w15:restartNumberingAfterBreak="0">
    <w:nsid w:val="CF092B84"/>
    <w:multiLevelType w:val="multilevel"/>
    <w:tmpl w:val="CF092B84"/>
    <w:lvl w:ilvl="0">
      <w:start w:val="1"/>
      <w:numFmt w:val="bullet"/>
      <w:lvlText w:val=""/>
      <w:lvlJc w:val="left"/>
      <w:pPr>
        <w:tabs>
          <w:tab w:val="left" w:pos="720"/>
        </w:tabs>
        <w:ind w:left="720" w:hanging="360"/>
      </w:pPr>
      <w:rPr>
        <w:rFonts w:ascii="Wingdings" w:hAnsi="Wingdings" w:cs="Wingdings" w:hint="default"/>
        <w:sz w:val="20"/>
      </w:rPr>
    </w:lvl>
    <w:lvl w:ilvl="1">
      <w:start w:val="1"/>
      <w:numFmt w:val="bullet"/>
      <w:pStyle w:val="TabAufz"/>
      <w:lvlText w:val=""/>
      <w:lvlJc w:val="left"/>
      <w:pPr>
        <w:tabs>
          <w:tab w:val="left" w:pos="1440"/>
        </w:tabs>
        <w:ind w:left="1080" w:firstLine="0"/>
      </w:pPr>
      <w:rPr>
        <w:rFonts w:ascii="Symbol" w:hAnsi="Symbol" w:cs="Symbol"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3" w15:restartNumberingAfterBreak="0">
    <w:nsid w:val="0053208E"/>
    <w:multiLevelType w:val="multilevel"/>
    <w:tmpl w:val="0053208E"/>
    <w:lvl w:ilvl="0">
      <w:start w:val="1"/>
      <w:numFmt w:val="decimal"/>
      <w:pStyle w:val="1"/>
      <w:lvlText w:val="%1."/>
      <w:lvlJc w:val="left"/>
      <w:pPr>
        <w:tabs>
          <w:tab w:val="left" w:pos="0"/>
        </w:tabs>
        <w:ind w:left="360" w:hanging="360"/>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rPr>
        <w:lang w:val="de-DE"/>
      </w:rPr>
    </w:lvl>
    <w:lvl w:ilvl="3">
      <w:start w:val="1"/>
      <w:numFmt w:val="decimal"/>
      <w:pStyle w:val="4"/>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4" w15:restartNumberingAfterBreak="0">
    <w:nsid w:val="03D62ECE"/>
    <w:multiLevelType w:val="multilevel"/>
    <w:tmpl w:val="03D62ECE"/>
    <w:lvl w:ilvl="0">
      <w:start w:val="1"/>
      <w:numFmt w:val="bullet"/>
      <w:pStyle w:val="Aufzhlung1"/>
      <w:lvlText w:val=""/>
      <w:lvlJc w:val="left"/>
      <w:pPr>
        <w:tabs>
          <w:tab w:val="left" w:pos="1418"/>
        </w:tabs>
        <w:ind w:left="1418" w:hanging="284"/>
      </w:pPr>
      <w:rPr>
        <w:rFonts w:ascii="Symbol" w:hAnsi="Symbol" w:cs="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5" w15:restartNumberingAfterBreak="0">
    <w:nsid w:val="25B654F3"/>
    <w:multiLevelType w:val="multilevel"/>
    <w:tmpl w:val="25B654F3"/>
    <w:lvl w:ilvl="0">
      <w:start w:val="1"/>
      <w:numFmt w:val="bullet"/>
      <w:pStyle w:val="AufzhlungStandard"/>
      <w:lvlText w:val="-"/>
      <w:lvlJc w:val="left"/>
      <w:pPr>
        <w:tabs>
          <w:tab w:val="left" w:pos="0"/>
        </w:tabs>
        <w:ind w:left="720" w:hanging="360"/>
      </w:pPr>
      <w:rPr>
        <w:rFonts w:ascii="Times New Roman" w:hAnsi="Times New Roman" w:cs="Times New Roman"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6" w15:restartNumberingAfterBreak="0">
    <w:nsid w:val="59ADCABA"/>
    <w:multiLevelType w:val="multilevel"/>
    <w:tmpl w:val="59ADCABA"/>
    <w:lvl w:ilvl="0">
      <w:start w:val="1"/>
      <w:numFmt w:val="bullet"/>
      <w:pStyle w:val="HinweisSub"/>
      <w:lvlText w:val=""/>
      <w:lvlJc w:val="left"/>
      <w:pPr>
        <w:tabs>
          <w:tab w:val="left" w:pos="794"/>
        </w:tabs>
        <w:ind w:left="794" w:hanging="397"/>
      </w:pPr>
      <w:rPr>
        <w:rFonts w:ascii="Symbol" w:hAnsi="Symbol" w:cs="Symbol" w:hint="default"/>
      </w:rPr>
    </w:lvl>
    <w:lvl w:ilvl="1">
      <w:start w:val="1"/>
      <w:numFmt w:val="bullet"/>
      <w:lvlText w:val="o"/>
      <w:lvlJc w:val="left"/>
      <w:pPr>
        <w:tabs>
          <w:tab w:val="left" w:pos="1837"/>
        </w:tabs>
        <w:ind w:left="1837" w:hanging="360"/>
      </w:pPr>
      <w:rPr>
        <w:rFonts w:ascii="Courier New" w:hAnsi="Courier New" w:cs="Courier New" w:hint="default"/>
      </w:rPr>
    </w:lvl>
    <w:lvl w:ilvl="2">
      <w:start w:val="1"/>
      <w:numFmt w:val="bullet"/>
      <w:lvlText w:val=""/>
      <w:lvlJc w:val="left"/>
      <w:pPr>
        <w:tabs>
          <w:tab w:val="left" w:pos="2557"/>
        </w:tabs>
        <w:ind w:left="2557" w:hanging="360"/>
      </w:pPr>
      <w:rPr>
        <w:rFonts w:ascii="Wingdings" w:hAnsi="Wingdings" w:cs="Wingdings" w:hint="default"/>
      </w:rPr>
    </w:lvl>
    <w:lvl w:ilvl="3">
      <w:start w:val="1"/>
      <w:numFmt w:val="bullet"/>
      <w:lvlText w:val=""/>
      <w:lvlJc w:val="left"/>
      <w:pPr>
        <w:tabs>
          <w:tab w:val="left" w:pos="3277"/>
        </w:tabs>
        <w:ind w:left="3277" w:hanging="360"/>
      </w:pPr>
      <w:rPr>
        <w:rFonts w:ascii="Symbol" w:hAnsi="Symbol" w:cs="Symbol" w:hint="default"/>
      </w:rPr>
    </w:lvl>
    <w:lvl w:ilvl="4">
      <w:start w:val="1"/>
      <w:numFmt w:val="bullet"/>
      <w:lvlText w:val="o"/>
      <w:lvlJc w:val="left"/>
      <w:pPr>
        <w:tabs>
          <w:tab w:val="left" w:pos="3997"/>
        </w:tabs>
        <w:ind w:left="3997" w:hanging="360"/>
      </w:pPr>
      <w:rPr>
        <w:rFonts w:ascii="Courier New" w:hAnsi="Courier New" w:cs="Courier New" w:hint="default"/>
      </w:rPr>
    </w:lvl>
    <w:lvl w:ilvl="5">
      <w:start w:val="1"/>
      <w:numFmt w:val="bullet"/>
      <w:lvlText w:val=""/>
      <w:lvlJc w:val="left"/>
      <w:pPr>
        <w:tabs>
          <w:tab w:val="left" w:pos="4717"/>
        </w:tabs>
        <w:ind w:left="4717" w:hanging="360"/>
      </w:pPr>
      <w:rPr>
        <w:rFonts w:ascii="Wingdings" w:hAnsi="Wingdings" w:cs="Wingdings" w:hint="default"/>
      </w:rPr>
    </w:lvl>
    <w:lvl w:ilvl="6">
      <w:start w:val="1"/>
      <w:numFmt w:val="bullet"/>
      <w:lvlText w:val=""/>
      <w:lvlJc w:val="left"/>
      <w:pPr>
        <w:tabs>
          <w:tab w:val="left" w:pos="5437"/>
        </w:tabs>
        <w:ind w:left="5437" w:hanging="360"/>
      </w:pPr>
      <w:rPr>
        <w:rFonts w:ascii="Symbol" w:hAnsi="Symbol" w:cs="Symbol" w:hint="default"/>
      </w:rPr>
    </w:lvl>
    <w:lvl w:ilvl="7">
      <w:start w:val="1"/>
      <w:numFmt w:val="bullet"/>
      <w:lvlText w:val="o"/>
      <w:lvlJc w:val="left"/>
      <w:pPr>
        <w:tabs>
          <w:tab w:val="left" w:pos="6157"/>
        </w:tabs>
        <w:ind w:left="6157" w:hanging="360"/>
      </w:pPr>
      <w:rPr>
        <w:rFonts w:ascii="Courier New" w:hAnsi="Courier New" w:cs="Courier New" w:hint="default"/>
      </w:rPr>
    </w:lvl>
    <w:lvl w:ilvl="8">
      <w:start w:val="1"/>
      <w:numFmt w:val="bullet"/>
      <w:lvlText w:val=""/>
      <w:lvlJc w:val="left"/>
      <w:pPr>
        <w:tabs>
          <w:tab w:val="left" w:pos="6877"/>
        </w:tabs>
        <w:ind w:left="6877" w:hanging="360"/>
      </w:pPr>
      <w:rPr>
        <w:rFonts w:ascii="Wingdings" w:hAnsi="Wingdings" w:cs="Wingdings" w:hint="default"/>
      </w:rPr>
    </w:lvl>
  </w:abstractNum>
  <w:abstractNum w:abstractNumId="7" w15:restartNumberingAfterBreak="0">
    <w:nsid w:val="72183CF9"/>
    <w:multiLevelType w:val="multilevel"/>
    <w:tmpl w:val="72183CF9"/>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num w:numId="1" w16cid:durableId="485971239">
    <w:abstractNumId w:val="3"/>
  </w:num>
  <w:num w:numId="2" w16cid:durableId="1957056686">
    <w:abstractNumId w:val="4"/>
  </w:num>
  <w:num w:numId="3" w16cid:durableId="1955482855">
    <w:abstractNumId w:val="2"/>
  </w:num>
  <w:num w:numId="4" w16cid:durableId="1270620638">
    <w:abstractNumId w:val="6"/>
  </w:num>
  <w:num w:numId="5" w16cid:durableId="1060322367">
    <w:abstractNumId w:val="1"/>
  </w:num>
  <w:num w:numId="6" w16cid:durableId="790978291">
    <w:abstractNumId w:val="0"/>
  </w:num>
  <w:num w:numId="7" w16cid:durableId="1692761343">
    <w:abstractNumId w:val="5"/>
  </w:num>
  <w:num w:numId="8" w16cid:durableId="14334744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09"/>
  <w:autoHyphenation/>
  <w:hyphenationZone w:val="425"/>
  <w:doNotHyphenateCaps/>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3D5"/>
    <w:rsid w:val="00197A73"/>
    <w:rsid w:val="002103D5"/>
    <w:rsid w:val="00237F29"/>
    <w:rsid w:val="002E7D6A"/>
    <w:rsid w:val="0038223D"/>
    <w:rsid w:val="004E73B2"/>
    <w:rsid w:val="00ED1EC7"/>
    <w:rsid w:val="0A245BD5"/>
    <w:rsid w:val="21C748D7"/>
    <w:rsid w:val="29AB414D"/>
  </w:rsids>
  <m:mathPr>
    <m:mathFont m:val="Cambria Math"/>
    <m:brkBin m:val="before"/>
    <m:brkBinSub m:val="--"/>
    <m:smallFrac m:val="0"/>
    <m:dispDef/>
    <m:lMargin m:val="0"/>
    <m:rMargin m:val="0"/>
    <m:defJc m:val="centerGroup"/>
    <m:wrapIndent m:val="1440"/>
    <m:intLim m:val="subSup"/>
    <m:naryLim m:val="undOvr"/>
  </m:mathPr>
  <w:themeFontLang w:val="de-DE"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DC573F"/>
  <w15:docId w15:val="{74005F25-31E3-456D-A50C-D6315AF5E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footnote text" w:semiHidden="1"/>
    <w:lsdException w:name="annotation text" w:semiHidden="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annotation reference" w:semiHidden="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textAlignment w:val="baseline"/>
    </w:pPr>
    <w:rPr>
      <w:rFonts w:ascii="Arial" w:eastAsia="Times New Roman" w:hAnsi="Arial"/>
      <w:lang w:val="de-DE" w:eastAsia="en-US"/>
    </w:rPr>
  </w:style>
  <w:style w:type="paragraph" w:styleId="1">
    <w:name w:val="heading 1"/>
    <w:basedOn w:val="a"/>
    <w:next w:val="a"/>
    <w:qFormat/>
    <w:pPr>
      <w:keepNext/>
      <w:pageBreakBefore/>
      <w:numPr>
        <w:numId w:val="1"/>
      </w:numPr>
      <w:overflowPunct w:val="0"/>
      <w:spacing w:after="240"/>
      <w:textAlignment w:val="auto"/>
      <w:outlineLvl w:val="0"/>
    </w:pPr>
    <w:rPr>
      <w:b/>
      <w:bCs/>
      <w:kern w:val="2"/>
      <w:sz w:val="32"/>
      <w:szCs w:val="32"/>
      <w:lang w:eastAsia="de-DE"/>
    </w:rPr>
  </w:style>
  <w:style w:type="paragraph" w:styleId="2">
    <w:name w:val="heading 2"/>
    <w:basedOn w:val="a"/>
    <w:next w:val="a"/>
    <w:qFormat/>
    <w:pPr>
      <w:keepNext/>
      <w:numPr>
        <w:ilvl w:val="1"/>
        <w:numId w:val="1"/>
      </w:numPr>
      <w:overflowPunct w:val="0"/>
      <w:spacing w:before="360" w:after="240"/>
      <w:textAlignment w:val="auto"/>
      <w:outlineLvl w:val="1"/>
    </w:pPr>
    <w:rPr>
      <w:b/>
      <w:bCs/>
      <w:iCs/>
      <w:sz w:val="32"/>
      <w:szCs w:val="28"/>
      <w:lang w:eastAsia="de-DE"/>
    </w:rPr>
  </w:style>
  <w:style w:type="paragraph" w:styleId="3">
    <w:name w:val="heading 3"/>
    <w:basedOn w:val="a"/>
    <w:next w:val="a"/>
    <w:link w:val="30"/>
    <w:qFormat/>
    <w:pPr>
      <w:keepNext/>
      <w:numPr>
        <w:ilvl w:val="2"/>
        <w:numId w:val="1"/>
      </w:numPr>
      <w:overflowPunct w:val="0"/>
      <w:spacing w:before="360" w:after="120"/>
      <w:textAlignment w:val="auto"/>
      <w:outlineLvl w:val="2"/>
    </w:pPr>
    <w:rPr>
      <w:b/>
      <w:bCs/>
      <w:sz w:val="28"/>
      <w:szCs w:val="26"/>
    </w:rPr>
  </w:style>
  <w:style w:type="paragraph" w:styleId="4">
    <w:name w:val="heading 4"/>
    <w:basedOn w:val="a"/>
    <w:next w:val="a"/>
    <w:autoRedefine/>
    <w:qFormat/>
    <w:pPr>
      <w:keepNext/>
      <w:numPr>
        <w:ilvl w:val="3"/>
        <w:numId w:val="1"/>
      </w:numPr>
      <w:overflowPunct w:val="0"/>
      <w:spacing w:before="360" w:after="120"/>
      <w:textAlignment w:val="auto"/>
      <w:outlineLvl w:val="3"/>
    </w:pPr>
    <w:rPr>
      <w:b/>
      <w:bCs/>
      <w:sz w:val="24"/>
      <w:szCs w:val="24"/>
      <w:lang w:eastAsia="de-DE"/>
    </w:rPr>
  </w:style>
  <w:style w:type="paragraph" w:styleId="5">
    <w:name w:val="heading 5"/>
    <w:basedOn w:val="a"/>
    <w:next w:val="a"/>
    <w:qFormat/>
    <w:pPr>
      <w:overflowPunct w:val="0"/>
      <w:spacing w:before="360" w:after="120"/>
      <w:textAlignment w:val="auto"/>
      <w:outlineLvl w:val="4"/>
    </w:pPr>
    <w:rPr>
      <w:b/>
      <w:bCs/>
      <w:iCs/>
      <w:sz w:val="24"/>
      <w:szCs w:val="26"/>
      <w:lang w:eastAsia="de-DE"/>
    </w:rPr>
  </w:style>
  <w:style w:type="paragraph" w:styleId="6">
    <w:name w:val="heading 6"/>
    <w:basedOn w:val="a"/>
    <w:next w:val="a"/>
    <w:qFormat/>
    <w:pPr>
      <w:numPr>
        <w:ilvl w:val="5"/>
        <w:numId w:val="1"/>
      </w:numPr>
      <w:overflowPunct w:val="0"/>
      <w:spacing w:before="360" w:after="120"/>
      <w:textAlignment w:val="auto"/>
      <w:outlineLvl w:val="5"/>
    </w:pPr>
    <w:rPr>
      <w:b/>
      <w:bCs/>
      <w:i/>
      <w:sz w:val="24"/>
      <w:szCs w:val="22"/>
      <w:lang w:eastAsia="de-DE"/>
    </w:rPr>
  </w:style>
  <w:style w:type="paragraph" w:styleId="7">
    <w:name w:val="heading 7"/>
    <w:basedOn w:val="a"/>
    <w:next w:val="a"/>
    <w:qFormat/>
    <w:pPr>
      <w:numPr>
        <w:ilvl w:val="6"/>
        <w:numId w:val="1"/>
      </w:numPr>
      <w:overflowPunct w:val="0"/>
      <w:spacing w:before="240" w:after="60"/>
      <w:textAlignment w:val="auto"/>
      <w:outlineLvl w:val="6"/>
    </w:pPr>
    <w:rPr>
      <w:sz w:val="24"/>
      <w:szCs w:val="24"/>
      <w:lang w:eastAsia="de-DE"/>
    </w:rPr>
  </w:style>
  <w:style w:type="paragraph" w:styleId="8">
    <w:name w:val="heading 8"/>
    <w:basedOn w:val="a"/>
    <w:next w:val="a"/>
    <w:qFormat/>
    <w:pPr>
      <w:numPr>
        <w:ilvl w:val="7"/>
        <w:numId w:val="1"/>
      </w:numPr>
      <w:overflowPunct w:val="0"/>
      <w:spacing w:before="240" w:after="60"/>
      <w:textAlignment w:val="auto"/>
      <w:outlineLvl w:val="7"/>
    </w:pPr>
    <w:rPr>
      <w:iCs/>
      <w:sz w:val="24"/>
      <w:szCs w:val="24"/>
      <w:lang w:eastAsia="de-DE"/>
    </w:rPr>
  </w:style>
  <w:style w:type="paragraph" w:styleId="9">
    <w:name w:val="heading 9"/>
    <w:basedOn w:val="a"/>
    <w:next w:val="a"/>
    <w:qFormat/>
    <w:pPr>
      <w:pageBreakBefore/>
      <w:numPr>
        <w:ilvl w:val="8"/>
        <w:numId w:val="1"/>
      </w:numPr>
      <w:overflowPunct w:val="0"/>
      <w:spacing w:before="60" w:after="60"/>
      <w:textAlignment w:val="auto"/>
      <w:outlineLvl w:val="8"/>
    </w:pPr>
    <w:rPr>
      <w:b/>
      <w:sz w:val="28"/>
      <w:szCs w:val="22"/>
      <w:lang w:eastAsia="de-D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pPr>
      <w:tabs>
        <w:tab w:val="right" w:leader="dot" w:pos="9072"/>
      </w:tabs>
      <w:ind w:left="1200"/>
    </w:pPr>
    <w:rPr>
      <w:rFonts w:ascii="Times" w:hAnsi="Times"/>
      <w:sz w:val="18"/>
    </w:rPr>
  </w:style>
  <w:style w:type="paragraph" w:styleId="a3">
    <w:name w:val="Normal Indent"/>
    <w:basedOn w:val="a"/>
    <w:qFormat/>
    <w:pPr>
      <w:ind w:left="708"/>
    </w:pPr>
  </w:style>
  <w:style w:type="paragraph" w:styleId="a4">
    <w:name w:val="caption"/>
    <w:basedOn w:val="a"/>
    <w:qFormat/>
    <w:pPr>
      <w:suppressLineNumbers/>
      <w:spacing w:before="120" w:after="120"/>
    </w:pPr>
    <w:rPr>
      <w:rFonts w:cs="Arial"/>
      <w:i/>
      <w:iCs/>
      <w:sz w:val="24"/>
      <w:szCs w:val="24"/>
    </w:rPr>
  </w:style>
  <w:style w:type="paragraph" w:styleId="a5">
    <w:name w:val="Document Map"/>
    <w:basedOn w:val="a"/>
    <w:semiHidden/>
    <w:qFormat/>
    <w:pPr>
      <w:shd w:val="clear" w:color="auto" w:fill="000080"/>
    </w:pPr>
    <w:rPr>
      <w:rFonts w:ascii="Tahoma" w:hAnsi="Tahoma" w:cs="Tahoma"/>
    </w:rPr>
  </w:style>
  <w:style w:type="paragraph" w:styleId="a6">
    <w:name w:val="annotation text"/>
    <w:basedOn w:val="a"/>
    <w:semiHidden/>
  </w:style>
  <w:style w:type="paragraph" w:styleId="a7">
    <w:name w:val="Body Text"/>
    <w:basedOn w:val="a"/>
    <w:pPr>
      <w:spacing w:after="120"/>
    </w:pPr>
  </w:style>
  <w:style w:type="paragraph" w:styleId="a8">
    <w:name w:val="Body Text Indent"/>
    <w:basedOn w:val="a"/>
    <w:pPr>
      <w:spacing w:before="120"/>
      <w:ind w:left="709"/>
    </w:pPr>
  </w:style>
  <w:style w:type="paragraph" w:styleId="TOC5">
    <w:name w:val="toc 5"/>
    <w:basedOn w:val="a"/>
    <w:next w:val="a"/>
    <w:uiPriority w:val="39"/>
    <w:pPr>
      <w:tabs>
        <w:tab w:val="right" w:leader="dot" w:pos="9072"/>
      </w:tabs>
      <w:ind w:left="720"/>
    </w:pPr>
    <w:rPr>
      <w:sz w:val="18"/>
    </w:rPr>
  </w:style>
  <w:style w:type="paragraph" w:styleId="TOC3">
    <w:name w:val="toc 3"/>
    <w:basedOn w:val="a"/>
    <w:next w:val="a"/>
    <w:uiPriority w:val="39"/>
    <w:pPr>
      <w:tabs>
        <w:tab w:val="right" w:leader="dot" w:pos="9072"/>
      </w:tabs>
      <w:spacing w:before="40" w:after="20"/>
      <w:ind w:left="238"/>
    </w:pPr>
  </w:style>
  <w:style w:type="paragraph" w:styleId="TOC8">
    <w:name w:val="toc 8"/>
    <w:basedOn w:val="a"/>
    <w:next w:val="a"/>
    <w:uiPriority w:val="39"/>
    <w:pPr>
      <w:tabs>
        <w:tab w:val="right" w:leader="dot" w:pos="9072"/>
      </w:tabs>
      <w:ind w:left="1440"/>
    </w:pPr>
    <w:rPr>
      <w:rFonts w:ascii="Times" w:hAnsi="Times"/>
      <w:sz w:val="18"/>
    </w:rPr>
  </w:style>
  <w:style w:type="paragraph" w:styleId="a9">
    <w:name w:val="Balloon Text"/>
    <w:basedOn w:val="a"/>
    <w:semiHidden/>
    <w:qFormat/>
    <w:rPr>
      <w:rFonts w:ascii="Tahoma" w:hAnsi="Tahoma" w:cs="Tahoma"/>
      <w:sz w:val="16"/>
      <w:szCs w:val="16"/>
    </w:rPr>
  </w:style>
  <w:style w:type="paragraph" w:styleId="aa">
    <w:name w:val="footer"/>
    <w:basedOn w:val="a"/>
    <w:pPr>
      <w:pBdr>
        <w:top w:val="single" w:sz="6" w:space="5" w:color="000000"/>
      </w:pBdr>
      <w:tabs>
        <w:tab w:val="center" w:pos="3969"/>
        <w:tab w:val="right" w:pos="7938"/>
      </w:tabs>
    </w:pPr>
  </w:style>
  <w:style w:type="paragraph" w:styleId="ab">
    <w:name w:val="header"/>
    <w:basedOn w:val="a"/>
    <w:pPr>
      <w:pBdr>
        <w:bottom w:val="single" w:sz="6" w:space="1" w:color="000000"/>
      </w:pBdr>
      <w:tabs>
        <w:tab w:val="right" w:pos="7938"/>
      </w:tabs>
    </w:pPr>
  </w:style>
  <w:style w:type="paragraph" w:styleId="TOC1">
    <w:name w:val="toc 1"/>
    <w:basedOn w:val="a"/>
    <w:next w:val="a"/>
    <w:uiPriority w:val="39"/>
    <w:pPr>
      <w:tabs>
        <w:tab w:val="right" w:leader="dot" w:pos="9072"/>
      </w:tabs>
      <w:spacing w:before="120" w:after="60"/>
    </w:pPr>
    <w:rPr>
      <w:b/>
    </w:rPr>
  </w:style>
  <w:style w:type="paragraph" w:styleId="TOC4">
    <w:name w:val="toc 4"/>
    <w:basedOn w:val="a"/>
    <w:next w:val="a"/>
    <w:uiPriority w:val="39"/>
    <w:pPr>
      <w:tabs>
        <w:tab w:val="right" w:leader="dot" w:pos="9072"/>
      </w:tabs>
      <w:spacing w:before="20" w:after="20"/>
      <w:ind w:left="482"/>
    </w:pPr>
    <w:rPr>
      <w:sz w:val="18"/>
    </w:rPr>
  </w:style>
  <w:style w:type="paragraph" w:styleId="ac">
    <w:name w:val="List"/>
    <w:basedOn w:val="a7"/>
    <w:rPr>
      <w:rFonts w:cs="Arial"/>
    </w:rPr>
  </w:style>
  <w:style w:type="paragraph" w:styleId="ad">
    <w:name w:val="footnote text"/>
    <w:basedOn w:val="a"/>
    <w:semiHidden/>
  </w:style>
  <w:style w:type="paragraph" w:styleId="TOC6">
    <w:name w:val="toc 6"/>
    <w:basedOn w:val="a"/>
    <w:next w:val="a"/>
    <w:uiPriority w:val="39"/>
    <w:pPr>
      <w:tabs>
        <w:tab w:val="right" w:leader="dot" w:pos="9072"/>
      </w:tabs>
      <w:ind w:left="1304"/>
    </w:pPr>
    <w:rPr>
      <w:sz w:val="18"/>
    </w:rPr>
  </w:style>
  <w:style w:type="paragraph" w:styleId="TOC2">
    <w:name w:val="toc 2"/>
    <w:basedOn w:val="a"/>
    <w:next w:val="a"/>
    <w:uiPriority w:val="39"/>
    <w:pPr>
      <w:tabs>
        <w:tab w:val="right" w:leader="dot" w:pos="9072"/>
      </w:tabs>
      <w:spacing w:before="40" w:after="20"/>
    </w:pPr>
  </w:style>
  <w:style w:type="paragraph" w:styleId="TOC9">
    <w:name w:val="toc 9"/>
    <w:basedOn w:val="a"/>
    <w:next w:val="a"/>
    <w:uiPriority w:val="39"/>
    <w:pPr>
      <w:tabs>
        <w:tab w:val="right" w:leader="dot" w:pos="9072"/>
      </w:tabs>
      <w:ind w:left="1680"/>
    </w:pPr>
    <w:rPr>
      <w:rFonts w:ascii="Times" w:hAnsi="Times"/>
      <w:sz w:val="18"/>
    </w:rPr>
  </w:style>
  <w:style w:type="paragraph" w:styleId="20">
    <w:name w:val="Body Text 2"/>
    <w:basedOn w:val="a"/>
    <w:qFormat/>
    <w:rPr>
      <w:rFonts w:ascii="Courier" w:hAnsi="Courier"/>
      <w:color w:val="000000"/>
      <w:sz w:val="24"/>
    </w:rPr>
  </w:style>
  <w:style w:type="paragraph" w:styleId="ae">
    <w:name w:val="Normal (Web)"/>
    <w:basedOn w:val="a"/>
    <w:uiPriority w:val="99"/>
    <w:unhideWhenUsed/>
    <w:qFormat/>
    <w:pPr>
      <w:overflowPunct w:val="0"/>
      <w:spacing w:beforeAutospacing="1" w:afterAutospacing="1"/>
      <w:textAlignment w:val="auto"/>
    </w:pPr>
    <w:rPr>
      <w:rFonts w:ascii="Times New Roman" w:hAnsi="Times New Roman"/>
      <w:sz w:val="24"/>
      <w:szCs w:val="24"/>
      <w:lang w:eastAsia="de-DE"/>
    </w:rPr>
  </w:style>
  <w:style w:type="paragraph" w:styleId="af">
    <w:name w:val="Title"/>
    <w:basedOn w:val="Abteilung"/>
    <w:qFormat/>
    <w:pPr>
      <w:spacing w:before="5400"/>
    </w:pPr>
    <w:rPr>
      <w:sz w:val="72"/>
    </w:rPr>
  </w:style>
  <w:style w:type="paragraph" w:customStyle="1" w:styleId="Abteilung">
    <w:name w:val="Abteilung"/>
    <w:basedOn w:val="a"/>
    <w:qFormat/>
    <w:pPr>
      <w:tabs>
        <w:tab w:val="left" w:pos="1134"/>
      </w:tabs>
      <w:spacing w:before="120"/>
    </w:pPr>
    <w:rPr>
      <w:sz w:val="24"/>
    </w:rPr>
  </w:style>
  <w:style w:type="table" w:styleId="af0">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qFormat/>
    <w:rPr>
      <w:b/>
      <w:bCs/>
    </w:rPr>
  </w:style>
  <w:style w:type="character" w:styleId="af2">
    <w:name w:val="FollowedHyperlink"/>
    <w:rPr>
      <w:color w:val="800080"/>
      <w:u w:val="single"/>
    </w:rPr>
  </w:style>
  <w:style w:type="character" w:styleId="af3">
    <w:name w:val="Hyperlink"/>
    <w:uiPriority w:val="99"/>
    <w:rPr>
      <w:color w:val="0000FF"/>
      <w:u w:val="single"/>
    </w:rPr>
  </w:style>
  <w:style w:type="character" w:styleId="af4">
    <w:name w:val="annotation reference"/>
    <w:semiHidden/>
    <w:qFormat/>
    <w:rPr>
      <w:sz w:val="16"/>
    </w:rPr>
  </w:style>
  <w:style w:type="character" w:styleId="af5">
    <w:name w:val="footnote reference"/>
    <w:rPr>
      <w:sz w:val="16"/>
      <w:vertAlign w:val="superscript"/>
    </w:rPr>
  </w:style>
  <w:style w:type="character" w:customStyle="1" w:styleId="FootnoteCharacters">
    <w:name w:val="Footnote Characters"/>
    <w:semiHidden/>
    <w:qFormat/>
    <w:rPr>
      <w:sz w:val="16"/>
      <w:vertAlign w:val="superscript"/>
    </w:rPr>
  </w:style>
  <w:style w:type="character" w:customStyle="1" w:styleId="FootnoteCharacters1">
    <w:name w:val="Footnote Characters1"/>
    <w:qFormat/>
    <w:rPr>
      <w:sz w:val="16"/>
      <w:vertAlign w:val="superscript"/>
    </w:rPr>
  </w:style>
  <w:style w:type="character" w:customStyle="1" w:styleId="FootnoteCharacters2">
    <w:name w:val="Footnote Characters2"/>
    <w:qFormat/>
    <w:rPr>
      <w:sz w:val="16"/>
      <w:vertAlign w:val="superscript"/>
    </w:rPr>
  </w:style>
  <w:style w:type="character" w:customStyle="1" w:styleId="Telegrammzeichen">
    <w:name w:val="Telegrammzeichen"/>
    <w:qFormat/>
    <w:rPr>
      <w:rFonts w:ascii="Courier New" w:hAnsi="Courier New"/>
      <w:b/>
      <w:i/>
      <w:caps/>
    </w:rPr>
  </w:style>
  <w:style w:type="character" w:customStyle="1" w:styleId="E-MailFormatvorlage82">
    <w:name w:val="E-MailFormatvorlage82"/>
    <w:semiHidden/>
    <w:qFormat/>
    <w:rPr>
      <w:rFonts w:ascii="Arial" w:hAnsi="Arial" w:cs="Arial"/>
      <w:color w:val="000080"/>
      <w:sz w:val="20"/>
      <w:szCs w:val="20"/>
    </w:rPr>
  </w:style>
  <w:style w:type="character" w:customStyle="1" w:styleId="StandardeinzugBlocksatzZchnZchn">
    <w:name w:val="Standardeinzug Blocksatz Zchn Zchn"/>
    <w:link w:val="StandardeinzugBlocksatz"/>
    <w:qFormat/>
    <w:rPr>
      <w:rFonts w:ascii="Arial" w:hAnsi="Arial"/>
      <w:lang w:eastAsia="en-US"/>
    </w:rPr>
  </w:style>
  <w:style w:type="paragraph" w:customStyle="1" w:styleId="StandardeinzugBlocksatz">
    <w:name w:val="Standardeinzug Blocksatz"/>
    <w:basedOn w:val="a"/>
    <w:link w:val="StandardeinzugBlocksatzZchnZchn"/>
    <w:qFormat/>
    <w:pPr>
      <w:tabs>
        <w:tab w:val="left" w:pos="1701"/>
        <w:tab w:val="left" w:pos="2268"/>
        <w:tab w:val="left" w:pos="3402"/>
      </w:tabs>
      <w:overflowPunct w:val="0"/>
      <w:spacing w:after="120" w:line="240" w:lineRule="atLeast"/>
      <w:ind w:left="709"/>
      <w:jc w:val="both"/>
      <w:textAlignment w:val="auto"/>
    </w:pPr>
  </w:style>
  <w:style w:type="character" w:customStyle="1" w:styleId="postinnersignaltitleZchn">
    <w:name w:val="post_inner_signal_title Zchn"/>
    <w:link w:val="postinnersignaltitle"/>
    <w:qFormat/>
    <w:rPr>
      <w:rFonts w:ascii="Arial Unicode MS" w:eastAsia="Arial Unicode MS" w:hAnsi="Arial Unicode MS"/>
      <w:b/>
      <w:sz w:val="18"/>
      <w:szCs w:val="24"/>
    </w:rPr>
  </w:style>
  <w:style w:type="paragraph" w:customStyle="1" w:styleId="postinnersignaltitle">
    <w:name w:val="post_inner_signal_title"/>
    <w:basedOn w:val="a"/>
    <w:link w:val="postinnersignaltitleZchn"/>
    <w:qFormat/>
    <w:pPr>
      <w:overflowPunct w:val="0"/>
      <w:spacing w:before="60" w:line="220" w:lineRule="exact"/>
      <w:textAlignment w:val="auto"/>
    </w:pPr>
    <w:rPr>
      <w:rFonts w:ascii="Arial Unicode MS" w:eastAsia="Arial Unicode MS" w:hAnsi="Arial Unicode MS"/>
      <w:b/>
      <w:sz w:val="18"/>
      <w:szCs w:val="24"/>
    </w:rPr>
  </w:style>
  <w:style w:type="character" w:customStyle="1" w:styleId="HinweisHang1cmZchn">
    <w:name w:val="HinweisHang1cm Zchn"/>
    <w:link w:val="HinweisHang1cm"/>
    <w:qFormat/>
    <w:rPr>
      <w:rFonts w:ascii="Arial" w:hAnsi="Arial"/>
      <w:lang w:val="de-DE" w:eastAsia="de-DE" w:bidi="ar-SA"/>
    </w:rPr>
  </w:style>
  <w:style w:type="paragraph" w:customStyle="1" w:styleId="HinweisHang1cm">
    <w:name w:val="HinweisHang1cm"/>
    <w:basedOn w:val="a"/>
    <w:link w:val="HinweisHang1cmZchn"/>
    <w:qFormat/>
    <w:pPr>
      <w:spacing w:after="120" w:line="240" w:lineRule="atLeast"/>
      <w:ind w:left="709" w:hanging="709"/>
    </w:pPr>
    <w:rPr>
      <w:lang w:eastAsia="de-DE"/>
    </w:rPr>
  </w:style>
  <w:style w:type="character" w:customStyle="1" w:styleId="Aufzhlung1Zchn">
    <w:name w:val="Aufzählung 1 Zchn"/>
    <w:link w:val="Aufzhlung1"/>
    <w:qFormat/>
    <w:rPr>
      <w:rFonts w:ascii="Arial" w:hAnsi="Arial"/>
      <w:szCs w:val="24"/>
    </w:rPr>
  </w:style>
  <w:style w:type="paragraph" w:customStyle="1" w:styleId="Aufzhlung1">
    <w:name w:val="Aufzählung 1"/>
    <w:basedOn w:val="a"/>
    <w:link w:val="Aufzhlung1Zchn"/>
    <w:qFormat/>
    <w:pPr>
      <w:numPr>
        <w:numId w:val="2"/>
      </w:numPr>
      <w:tabs>
        <w:tab w:val="left" w:pos="1134"/>
      </w:tabs>
      <w:overflowPunct w:val="0"/>
      <w:spacing w:before="120" w:after="120"/>
      <w:textAlignment w:val="auto"/>
    </w:pPr>
    <w:rPr>
      <w:szCs w:val="24"/>
      <w:lang w:eastAsia="de-DE"/>
    </w:rPr>
  </w:style>
  <w:style w:type="character" w:customStyle="1" w:styleId="30">
    <w:name w:val="标题 3 字符"/>
    <w:link w:val="3"/>
    <w:qFormat/>
    <w:rPr>
      <w:rFonts w:ascii="Arial" w:hAnsi="Arial"/>
      <w:b/>
      <w:bCs/>
      <w:sz w:val="28"/>
      <w:szCs w:val="26"/>
      <w:lang w:eastAsia="en-US"/>
    </w:rPr>
  </w:style>
  <w:style w:type="paragraph" w:customStyle="1" w:styleId="Heading">
    <w:name w:val="Heading"/>
    <w:basedOn w:val="a"/>
    <w:next w:val="a7"/>
    <w:qFormat/>
    <w:pPr>
      <w:keepNext/>
      <w:spacing w:before="240" w:after="120"/>
    </w:pPr>
    <w:rPr>
      <w:rFonts w:ascii="Liberation Sans" w:eastAsia="微软雅黑" w:hAnsi="Liberation Sans" w:cs="Arial"/>
      <w:sz w:val="28"/>
      <w:szCs w:val="28"/>
    </w:rPr>
  </w:style>
  <w:style w:type="paragraph" w:customStyle="1" w:styleId="Index">
    <w:name w:val="Index"/>
    <w:basedOn w:val="a"/>
    <w:qFormat/>
    <w:pPr>
      <w:suppressLineNumbers/>
    </w:pPr>
    <w:rPr>
      <w:rFonts w:cs="Arial"/>
    </w:rPr>
  </w:style>
  <w:style w:type="paragraph" w:customStyle="1" w:styleId="1Heading">
    <w:name w:val="1Heading"/>
    <w:basedOn w:val="a"/>
    <w:qFormat/>
    <w:pPr>
      <w:spacing w:before="480" w:after="240"/>
    </w:pPr>
    <w:rPr>
      <w:b/>
      <w:sz w:val="32"/>
    </w:rPr>
  </w:style>
  <w:style w:type="paragraph" w:customStyle="1" w:styleId="Absatz">
    <w:name w:val="Absatz"/>
    <w:basedOn w:val="a"/>
    <w:qFormat/>
    <w:pPr>
      <w:spacing w:before="120"/>
    </w:pPr>
  </w:style>
  <w:style w:type="paragraph" w:customStyle="1" w:styleId="2Heading">
    <w:name w:val="2Heading"/>
    <w:basedOn w:val="1Heading"/>
    <w:qFormat/>
    <w:pPr>
      <w:spacing w:after="120"/>
    </w:pPr>
    <w:rPr>
      <w:sz w:val="28"/>
    </w:rPr>
  </w:style>
  <w:style w:type="paragraph" w:customStyle="1" w:styleId="3Heading">
    <w:name w:val="3Heading"/>
    <w:basedOn w:val="2Heading"/>
    <w:qFormat/>
    <w:rPr>
      <w:b w:val="0"/>
    </w:rPr>
  </w:style>
  <w:style w:type="paragraph" w:customStyle="1" w:styleId="HeaderandFooter">
    <w:name w:val="Header and Footer"/>
    <w:basedOn w:val="a"/>
    <w:qFormat/>
  </w:style>
  <w:style w:type="paragraph" w:customStyle="1" w:styleId="BMW">
    <w:name w:val="BMW"/>
    <w:basedOn w:val="a"/>
    <w:qFormat/>
    <w:rPr>
      <w:b/>
      <w:sz w:val="36"/>
    </w:rPr>
  </w:style>
  <w:style w:type="paragraph" w:customStyle="1" w:styleId="UnterTitel">
    <w:name w:val="UnterTitel"/>
    <w:basedOn w:val="a"/>
    <w:qFormat/>
    <w:pPr>
      <w:spacing w:before="600" w:after="600"/>
    </w:pPr>
    <w:rPr>
      <w:sz w:val="36"/>
    </w:rPr>
  </w:style>
  <w:style w:type="paragraph" w:customStyle="1" w:styleId="Version">
    <w:name w:val="Version"/>
    <w:basedOn w:val="a"/>
    <w:qFormat/>
    <w:pPr>
      <w:tabs>
        <w:tab w:val="left" w:pos="1701"/>
      </w:tabs>
      <w:jc w:val="both"/>
    </w:pPr>
    <w:rPr>
      <w:i/>
    </w:rPr>
  </w:style>
  <w:style w:type="paragraph" w:customStyle="1" w:styleId="Bullet">
    <w:name w:val="Bullet"/>
    <w:basedOn w:val="Absatz"/>
    <w:qFormat/>
    <w:pPr>
      <w:ind w:left="567" w:hanging="567"/>
    </w:pPr>
  </w:style>
  <w:style w:type="paragraph" w:customStyle="1" w:styleId="Punkt">
    <w:name w:val="Punkt"/>
    <w:basedOn w:val="a"/>
    <w:qFormat/>
    <w:pPr>
      <w:spacing w:before="480" w:after="120"/>
    </w:pPr>
    <w:rPr>
      <w:b/>
      <w:sz w:val="24"/>
    </w:rPr>
  </w:style>
  <w:style w:type="paragraph" w:customStyle="1" w:styleId="Anhang">
    <w:name w:val="Anhang"/>
    <w:basedOn w:val="a"/>
    <w:qFormat/>
    <w:pPr>
      <w:spacing w:before="480" w:after="120"/>
    </w:pPr>
    <w:rPr>
      <w:b/>
      <w:sz w:val="28"/>
    </w:rPr>
  </w:style>
  <w:style w:type="paragraph" w:customStyle="1" w:styleId="DateiName">
    <w:name w:val="DateiName"/>
    <w:basedOn w:val="a"/>
    <w:qFormat/>
    <w:pPr>
      <w:tabs>
        <w:tab w:val="right" w:pos="7938"/>
      </w:tabs>
      <w:jc w:val="right"/>
    </w:pPr>
    <w:rPr>
      <w:sz w:val="14"/>
    </w:rPr>
  </w:style>
  <w:style w:type="paragraph" w:customStyle="1" w:styleId="ersteFuzeile">
    <w:name w:val="erste Fußzeile"/>
    <w:basedOn w:val="aa"/>
    <w:qFormat/>
    <w:pPr>
      <w:pBdr>
        <w:top w:val="none" w:sz="0" w:space="0" w:color="auto"/>
      </w:pBdr>
    </w:pPr>
    <w:rPr>
      <w:sz w:val="18"/>
    </w:rPr>
  </w:style>
  <w:style w:type="paragraph" w:customStyle="1" w:styleId="ersteKopfzeile">
    <w:name w:val="erste Kopfzeile"/>
    <w:basedOn w:val="ab"/>
    <w:qFormat/>
    <w:pPr>
      <w:pBdr>
        <w:bottom w:val="none" w:sz="0" w:space="0" w:color="auto"/>
      </w:pBdr>
    </w:pPr>
  </w:style>
  <w:style w:type="paragraph" w:customStyle="1" w:styleId="BulletUnter">
    <w:name w:val="BulletUnter"/>
    <w:basedOn w:val="Bullet"/>
    <w:qFormat/>
    <w:pPr>
      <w:ind w:left="1134"/>
    </w:pPr>
  </w:style>
  <w:style w:type="paragraph" w:customStyle="1" w:styleId="TabellenEintrag">
    <w:name w:val="TabellenEintrag"/>
    <w:basedOn w:val="a"/>
    <w:qFormat/>
  </w:style>
  <w:style w:type="paragraph" w:customStyle="1" w:styleId="UnterPunkt">
    <w:name w:val="UnterPunkt"/>
    <w:basedOn w:val="Punkt"/>
    <w:qFormat/>
    <w:pPr>
      <w:tabs>
        <w:tab w:val="left" w:pos="1134"/>
        <w:tab w:val="left" w:pos="1701"/>
      </w:tabs>
      <w:spacing w:before="240" w:after="0"/>
      <w:ind w:left="1134" w:hanging="567"/>
    </w:pPr>
    <w:rPr>
      <w:b w:val="0"/>
      <w:sz w:val="28"/>
    </w:rPr>
  </w:style>
  <w:style w:type="paragraph" w:customStyle="1" w:styleId="Tabellenber">
    <w:name w:val="TabellenÜber"/>
    <w:basedOn w:val="TabellenEintrag"/>
    <w:qFormat/>
    <w:pPr>
      <w:spacing w:before="120" w:after="120"/>
    </w:pPr>
    <w:rPr>
      <w:b/>
    </w:rPr>
  </w:style>
  <w:style w:type="paragraph" w:customStyle="1" w:styleId="Begriff">
    <w:name w:val="Begriff"/>
    <w:basedOn w:val="a"/>
    <w:next w:val="Definition"/>
    <w:qFormat/>
    <w:pPr>
      <w:spacing w:before="480"/>
    </w:pPr>
    <w:rPr>
      <w:b/>
      <w:sz w:val="24"/>
    </w:rPr>
  </w:style>
  <w:style w:type="paragraph" w:customStyle="1" w:styleId="Definition">
    <w:name w:val="Definition"/>
    <w:basedOn w:val="a"/>
    <w:qFormat/>
    <w:pPr>
      <w:spacing w:before="120"/>
      <w:ind w:left="567"/>
    </w:pPr>
  </w:style>
  <w:style w:type="paragraph" w:customStyle="1" w:styleId="PunktOhne">
    <w:name w:val="PunktOhne"/>
    <w:basedOn w:val="a"/>
    <w:qFormat/>
    <w:pPr>
      <w:tabs>
        <w:tab w:val="left" w:pos="567"/>
      </w:tabs>
      <w:spacing w:before="480" w:after="240"/>
    </w:pPr>
    <w:rPr>
      <w:b/>
      <w:sz w:val="36"/>
    </w:rPr>
  </w:style>
  <w:style w:type="paragraph" w:customStyle="1" w:styleId="Standard1">
    <w:name w:val="Standard1"/>
    <w:qFormat/>
    <w:pPr>
      <w:suppressAutoHyphens/>
      <w:spacing w:line="300" w:lineRule="atLeast"/>
      <w:textAlignment w:val="baseline"/>
    </w:pPr>
    <w:rPr>
      <w:rFonts w:ascii="Arial" w:eastAsia="Times New Roman" w:hAnsi="Arial"/>
      <w:sz w:val="24"/>
      <w:lang w:val="de-DE" w:eastAsia="en-US"/>
    </w:rPr>
  </w:style>
  <w:style w:type="paragraph" w:customStyle="1" w:styleId="k">
    <w:name w:val="k"/>
    <w:basedOn w:val="Absatz"/>
    <w:qFormat/>
    <w:pPr>
      <w:pBdr>
        <w:top w:val="single" w:sz="6" w:space="1" w:color="000000"/>
        <w:left w:val="single" w:sz="6" w:space="1" w:color="000000"/>
        <w:bottom w:val="single" w:sz="6" w:space="1" w:color="000000"/>
        <w:right w:val="single" w:sz="6" w:space="1" w:color="000000"/>
      </w:pBdr>
      <w:spacing w:before="360"/>
    </w:pPr>
    <w:rPr>
      <w:b/>
    </w:rPr>
  </w:style>
  <w:style w:type="paragraph" w:customStyle="1" w:styleId="KasteninQMV">
    <w:name w:val="Kasten in QMV"/>
    <w:basedOn w:val="a"/>
    <w:next w:val="a"/>
    <w:qFormat/>
    <w:pPr>
      <w:pBdr>
        <w:top w:val="single" w:sz="6" w:space="1" w:color="000000"/>
        <w:left w:val="single" w:sz="6" w:space="1" w:color="000000"/>
        <w:bottom w:val="single" w:sz="6" w:space="1" w:color="000000"/>
        <w:right w:val="single" w:sz="6" w:space="1" w:color="000000"/>
      </w:pBdr>
      <w:spacing w:before="240" w:after="120"/>
    </w:pPr>
    <w:rPr>
      <w:b/>
    </w:rPr>
  </w:style>
  <w:style w:type="paragraph" w:customStyle="1" w:styleId="Kopf">
    <w:name w:val="Kopf"/>
    <w:basedOn w:val="a"/>
    <w:qFormat/>
    <w:pPr>
      <w:tabs>
        <w:tab w:val="left" w:pos="567"/>
        <w:tab w:val="left" w:pos="1701"/>
      </w:tabs>
      <w:spacing w:before="360"/>
    </w:pPr>
  </w:style>
  <w:style w:type="paragraph" w:customStyle="1" w:styleId="Ausfllhinweis">
    <w:name w:val="Ausfüllhinweis"/>
    <w:basedOn w:val="a"/>
    <w:next w:val="Paragraph"/>
    <w:autoRedefine/>
    <w:qFormat/>
    <w:pPr>
      <w:tabs>
        <w:tab w:val="left" w:pos="284"/>
        <w:tab w:val="left" w:pos="1134"/>
      </w:tabs>
      <w:spacing w:before="120" w:after="60"/>
    </w:pPr>
    <w:rPr>
      <w:iCs/>
    </w:rPr>
  </w:style>
  <w:style w:type="paragraph" w:customStyle="1" w:styleId="Paragraph">
    <w:name w:val="&lt;  Paragraph&gt;"/>
    <w:basedOn w:val="-StyleArial10Links"/>
    <w:qFormat/>
    <w:pPr>
      <w:spacing w:before="80" w:after="0" w:line="240" w:lineRule="atLeast"/>
    </w:pPr>
  </w:style>
  <w:style w:type="paragraph" w:customStyle="1" w:styleId="-StyleArial10Links">
    <w:name w:val="-Style (Arial 10 Links)"/>
    <w:basedOn w:val="-StyleArial10Block"/>
    <w:qFormat/>
    <w:pPr>
      <w:jc w:val="left"/>
    </w:pPr>
  </w:style>
  <w:style w:type="paragraph" w:customStyle="1" w:styleId="-StyleArial10Block">
    <w:name w:val="-Style (Arial 10 Block)"/>
    <w:basedOn w:val="a"/>
    <w:qFormat/>
    <w:pPr>
      <w:spacing w:before="60" w:after="80" w:line="260" w:lineRule="exact"/>
      <w:jc w:val="both"/>
    </w:pPr>
  </w:style>
  <w:style w:type="paragraph" w:customStyle="1" w:styleId="-StyleTimes11Block">
    <w:name w:val="-Style (Times 11 Block)"/>
    <w:basedOn w:val="a"/>
    <w:qFormat/>
    <w:pPr>
      <w:spacing w:before="60" w:after="80" w:line="260" w:lineRule="exact"/>
      <w:jc w:val="both"/>
    </w:pPr>
    <w:rPr>
      <w:rFonts w:ascii="Times" w:hAnsi="Times"/>
    </w:rPr>
  </w:style>
  <w:style w:type="paragraph" w:customStyle="1" w:styleId="HeadingforToC">
    <w:name w:val="&lt; Heading for ToC&gt;"/>
    <w:basedOn w:val="Paragraph"/>
    <w:qFormat/>
    <w:pPr>
      <w:spacing w:before="120" w:after="120"/>
      <w:ind w:left="213"/>
    </w:pPr>
    <w:rPr>
      <w:b/>
      <w:sz w:val="22"/>
    </w:rPr>
  </w:style>
  <w:style w:type="paragraph" w:customStyle="1" w:styleId="Break">
    <w:name w:val="&lt; Break &gt;"/>
    <w:basedOn w:val="Paragraph"/>
    <w:qFormat/>
    <w:pPr>
      <w:spacing w:before="40" w:after="40" w:line="240" w:lineRule="auto"/>
    </w:pPr>
  </w:style>
  <w:style w:type="paragraph" w:customStyle="1" w:styleId="ChapterforToC">
    <w:name w:val="&lt; Chapter for ToC &gt;"/>
    <w:basedOn w:val="a"/>
    <w:next w:val="Paragraph"/>
    <w:qFormat/>
    <w:pPr>
      <w:spacing w:after="360"/>
    </w:pPr>
    <w:rPr>
      <w:b/>
      <w:sz w:val="28"/>
    </w:rPr>
  </w:style>
  <w:style w:type="paragraph" w:customStyle="1" w:styleId="TabAufz">
    <w:name w:val="TabAufz"/>
    <w:basedOn w:val="a"/>
    <w:qFormat/>
    <w:pPr>
      <w:numPr>
        <w:ilvl w:val="1"/>
        <w:numId w:val="3"/>
      </w:numPr>
    </w:pPr>
  </w:style>
  <w:style w:type="paragraph" w:customStyle="1" w:styleId="HinweisSub">
    <w:name w:val="HinweisSub"/>
    <w:basedOn w:val="a"/>
    <w:qFormat/>
    <w:pPr>
      <w:numPr>
        <w:numId w:val="4"/>
      </w:numPr>
    </w:pPr>
  </w:style>
  <w:style w:type="paragraph" w:customStyle="1" w:styleId="Aufzhlung">
    <w:name w:val="Aufzählung"/>
    <w:basedOn w:val="a"/>
    <w:autoRedefine/>
    <w:qFormat/>
    <w:pPr>
      <w:numPr>
        <w:numId w:val="5"/>
      </w:numPr>
      <w:tabs>
        <w:tab w:val="left" w:pos="357"/>
      </w:tabs>
      <w:ind w:left="357" w:hanging="357"/>
    </w:pPr>
  </w:style>
  <w:style w:type="paragraph" w:customStyle="1" w:styleId="xl45">
    <w:name w:val="xl45"/>
    <w:basedOn w:val="a"/>
    <w:qFormat/>
    <w:pPr>
      <w:pBdr>
        <w:right w:val="single" w:sz="4" w:space="0" w:color="000000"/>
      </w:pBdr>
      <w:overflowPunct w:val="0"/>
      <w:spacing w:beforeAutospacing="1" w:afterAutospacing="1"/>
      <w:textAlignment w:val="auto"/>
    </w:pPr>
    <w:rPr>
      <w:rFonts w:ascii="Arial Unicode MS" w:eastAsia="Arial Unicode MS" w:hAnsi="Arial Unicode MS" w:cs="Arial Unicode MS"/>
      <w:sz w:val="24"/>
      <w:szCs w:val="24"/>
      <w:lang w:eastAsia="de-DE"/>
    </w:rPr>
  </w:style>
  <w:style w:type="paragraph" w:customStyle="1" w:styleId="AusfllhinwAufz">
    <w:name w:val="AusfüllhinwAufz"/>
    <w:basedOn w:val="Ausfllhinweis"/>
    <w:autoRedefine/>
    <w:qFormat/>
    <w:pPr>
      <w:numPr>
        <w:numId w:val="6"/>
      </w:numPr>
      <w:ind w:left="284" w:hanging="284"/>
    </w:pPr>
  </w:style>
  <w:style w:type="paragraph" w:customStyle="1" w:styleId="xl52">
    <w:name w:val="xl52"/>
    <w:basedOn w:val="a"/>
    <w:qFormat/>
    <w:pPr>
      <w:pBdr>
        <w:left w:val="single" w:sz="8" w:space="0" w:color="000000"/>
      </w:pBdr>
      <w:overflowPunct w:val="0"/>
      <w:spacing w:beforeAutospacing="1" w:afterAutospacing="1"/>
      <w:textAlignment w:val="auto"/>
    </w:pPr>
    <w:rPr>
      <w:rFonts w:eastAsia="Arial Unicode MS" w:cs="Arial"/>
      <w:sz w:val="16"/>
      <w:szCs w:val="16"/>
      <w:lang w:eastAsia="de-DE"/>
    </w:rPr>
  </w:style>
  <w:style w:type="paragraph" w:customStyle="1" w:styleId="Kopfzeile1">
    <w:name w:val="Kopfzeile1"/>
    <w:basedOn w:val="ab"/>
    <w:qFormat/>
    <w:pPr>
      <w:pBdr>
        <w:bottom w:val="none" w:sz="0" w:space="0" w:color="auto"/>
      </w:pBdr>
      <w:tabs>
        <w:tab w:val="clear" w:pos="7938"/>
        <w:tab w:val="center" w:pos="4536"/>
        <w:tab w:val="right" w:pos="9072"/>
      </w:tabs>
      <w:spacing w:before="120" w:after="60"/>
    </w:pPr>
    <w:rPr>
      <w:b/>
      <w:bCs/>
      <w:sz w:val="24"/>
    </w:rPr>
  </w:style>
  <w:style w:type="paragraph" w:customStyle="1" w:styleId="Paragraph0">
    <w:name w:val="&lt;  Paragraph &gt;"/>
    <w:basedOn w:val="a"/>
    <w:qFormat/>
    <w:pPr>
      <w:spacing w:before="80" w:after="80" w:line="240" w:lineRule="atLeast"/>
    </w:pPr>
  </w:style>
  <w:style w:type="paragraph" w:customStyle="1" w:styleId="tabellenber0">
    <w:name w:val="tabellenber"/>
    <w:basedOn w:val="a"/>
    <w:qFormat/>
    <w:pPr>
      <w:overflowPunct w:val="0"/>
      <w:spacing w:beforeAutospacing="1" w:afterAutospacing="1"/>
      <w:textAlignment w:val="auto"/>
    </w:pPr>
    <w:rPr>
      <w:rFonts w:ascii="Times New Roman" w:hAnsi="Times New Roman"/>
      <w:sz w:val="24"/>
      <w:szCs w:val="24"/>
      <w:lang w:eastAsia="de-DE"/>
    </w:rPr>
  </w:style>
  <w:style w:type="paragraph" w:styleId="af6">
    <w:name w:val="List Paragraph"/>
    <w:basedOn w:val="a"/>
    <w:uiPriority w:val="34"/>
    <w:qFormat/>
    <w:pPr>
      <w:ind w:left="708"/>
    </w:pPr>
  </w:style>
  <w:style w:type="paragraph" w:customStyle="1" w:styleId="Default">
    <w:name w:val="Default"/>
    <w:qFormat/>
    <w:pPr>
      <w:suppressAutoHyphens/>
    </w:pPr>
    <w:rPr>
      <w:rFonts w:ascii="Calibri" w:eastAsia="Times New Roman" w:hAnsi="Calibri" w:cs="Calibri"/>
      <w:color w:val="000000"/>
      <w:sz w:val="24"/>
      <w:szCs w:val="24"/>
      <w:lang w:val="de-DE" w:eastAsia="de-DE"/>
    </w:rPr>
  </w:style>
  <w:style w:type="paragraph" w:customStyle="1" w:styleId="berschriftTexteallgemein16pt">
    <w:name w:val="Überschrift Texte allgemein 16pt"/>
    <w:basedOn w:val="a"/>
    <w:next w:val="a"/>
    <w:qFormat/>
    <w:pPr>
      <w:tabs>
        <w:tab w:val="left" w:pos="1701"/>
        <w:tab w:val="left" w:pos="2268"/>
        <w:tab w:val="left" w:pos="3402"/>
      </w:tabs>
      <w:overflowPunct w:val="0"/>
      <w:spacing w:before="480" w:after="240" w:line="240" w:lineRule="atLeast"/>
      <w:ind w:left="709"/>
      <w:textAlignment w:val="auto"/>
    </w:pPr>
    <w:rPr>
      <w:b/>
      <w:bCs/>
      <w:sz w:val="32"/>
      <w:szCs w:val="32"/>
    </w:rPr>
  </w:style>
  <w:style w:type="paragraph" w:customStyle="1" w:styleId="postsignalicon">
    <w:name w:val="post_signal_icon"/>
    <w:basedOn w:val="a"/>
    <w:qFormat/>
    <w:pPr>
      <w:overflowPunct w:val="0"/>
      <w:textAlignment w:val="auto"/>
    </w:pPr>
    <w:rPr>
      <w:rFonts w:ascii="Arial Unicode MS" w:eastAsia="Arial Unicode MS" w:hAnsi="Arial Unicode MS"/>
      <w:szCs w:val="24"/>
      <w:lang w:eastAsia="de-DE"/>
    </w:rPr>
  </w:style>
  <w:style w:type="paragraph" w:customStyle="1" w:styleId="postinnersignaltext">
    <w:name w:val="post_inner_signal_text"/>
    <w:basedOn w:val="a"/>
    <w:qFormat/>
    <w:pPr>
      <w:overflowPunct w:val="0"/>
      <w:spacing w:before="120" w:after="40" w:line="220" w:lineRule="exact"/>
      <w:textAlignment w:val="auto"/>
    </w:pPr>
    <w:rPr>
      <w:rFonts w:ascii="Arial Unicode MS" w:eastAsia="Arial Unicode MS" w:hAnsi="Arial Unicode MS"/>
      <w:sz w:val="18"/>
      <w:szCs w:val="24"/>
      <w:lang w:eastAsia="de-DE"/>
    </w:rPr>
  </w:style>
  <w:style w:type="paragraph" w:customStyle="1" w:styleId="StandardAbsatz">
    <w:name w:val="Standard_Absatz"/>
    <w:basedOn w:val="a"/>
    <w:qFormat/>
    <w:pPr>
      <w:spacing w:before="120" w:after="120" w:line="240" w:lineRule="atLeast"/>
    </w:pPr>
    <w:rPr>
      <w:lang w:eastAsia="de-DE"/>
    </w:rPr>
  </w:style>
  <w:style w:type="paragraph" w:customStyle="1" w:styleId="StandardHang35cm">
    <w:name w:val="StandardHang3.5cm"/>
    <w:basedOn w:val="HinweisHang1cm"/>
    <w:qFormat/>
    <w:pPr>
      <w:tabs>
        <w:tab w:val="left" w:pos="1985"/>
        <w:tab w:val="left" w:pos="2155"/>
        <w:tab w:val="left" w:pos="2268"/>
        <w:tab w:val="left" w:pos="2552"/>
        <w:tab w:val="left" w:pos="2835"/>
        <w:tab w:val="left" w:pos="3119"/>
        <w:tab w:val="left" w:pos="3969"/>
      </w:tabs>
      <w:ind w:left="1985" w:hanging="1985"/>
    </w:pPr>
  </w:style>
  <w:style w:type="paragraph" w:customStyle="1" w:styleId="ptablel">
    <w:name w:val="p_table_l"/>
    <w:basedOn w:val="a"/>
    <w:qFormat/>
    <w:pPr>
      <w:overflowPunct w:val="0"/>
      <w:spacing w:beforeAutospacing="1" w:afterAutospacing="1"/>
      <w:textAlignment w:val="auto"/>
    </w:pPr>
    <w:rPr>
      <w:rFonts w:ascii="Times New Roman" w:eastAsia="宋体" w:hAnsi="Times New Roman"/>
      <w:sz w:val="24"/>
      <w:szCs w:val="24"/>
      <w:lang w:val="en-US" w:eastAsia="zh-CN"/>
    </w:rPr>
  </w:style>
  <w:style w:type="paragraph" w:customStyle="1" w:styleId="berschriftText">
    <w:name w:val="ÜberschriftText"/>
    <w:basedOn w:val="1"/>
    <w:next w:val="StandardAbsatz"/>
    <w:qFormat/>
    <w:pPr>
      <w:pageBreakBefore w:val="0"/>
      <w:numPr>
        <w:numId w:val="0"/>
      </w:numPr>
      <w:spacing w:before="240" w:after="120"/>
    </w:pPr>
  </w:style>
  <w:style w:type="paragraph" w:customStyle="1" w:styleId="TableHead">
    <w:name w:val="TableHead"/>
    <w:basedOn w:val="a"/>
    <w:qFormat/>
    <w:pPr>
      <w:keepNext/>
      <w:keepLines/>
      <w:overflowPunct w:val="0"/>
      <w:spacing w:after="120"/>
      <w:jc w:val="both"/>
      <w:textAlignment w:val="auto"/>
    </w:pPr>
    <w:rPr>
      <w:b/>
      <w:lang w:eastAsia="de-DE"/>
    </w:rPr>
  </w:style>
  <w:style w:type="paragraph" w:customStyle="1" w:styleId="StandardHang05cm">
    <w:name w:val="StandardHang0.5cm"/>
    <w:basedOn w:val="StandardHang35cm"/>
    <w:qFormat/>
    <w:pPr>
      <w:ind w:left="284" w:hanging="284"/>
    </w:pPr>
  </w:style>
  <w:style w:type="paragraph" w:customStyle="1" w:styleId="AufzhlungStandard">
    <w:name w:val="Aufzählung_Standard"/>
    <w:basedOn w:val="Aufzhlung"/>
    <w:qFormat/>
    <w:pPr>
      <w:numPr>
        <w:numId w:val="7"/>
      </w:numPr>
      <w:tabs>
        <w:tab w:val="clear" w:pos="357"/>
        <w:tab w:val="left" w:pos="284"/>
      </w:tabs>
      <w:ind w:left="568" w:hanging="284"/>
    </w:pPr>
  </w:style>
  <w:style w:type="paragraph" w:customStyle="1" w:styleId="Titel2">
    <w:name w:val="Titel 2"/>
    <w:basedOn w:val="a"/>
    <w:qFormat/>
    <w:pPr>
      <w:overflowPunct w:val="0"/>
      <w:spacing w:line="240" w:lineRule="exact"/>
      <w:jc w:val="center"/>
      <w:textAlignment w:val="auto"/>
    </w:pPr>
    <w:rPr>
      <w:rFonts w:ascii="Helvetica" w:hAnsi="Helvetica"/>
      <w:b/>
      <w:kern w:val="2"/>
      <w:sz w:val="24"/>
      <w:lang w:eastAsia="en-GB"/>
    </w:rPr>
  </w:style>
  <w:style w:type="paragraph" w:customStyle="1" w:styleId="TextNorm">
    <w:name w:val="Text:Norm"/>
    <w:qFormat/>
    <w:pPr>
      <w:tabs>
        <w:tab w:val="left" w:pos="0"/>
        <w:tab w:val="left" w:pos="2835"/>
        <w:tab w:val="left" w:pos="5669"/>
        <w:tab w:val="left" w:pos="8505"/>
      </w:tabs>
      <w:suppressAutoHyphens/>
      <w:spacing w:before="25" w:after="57" w:line="232" w:lineRule="atLeast"/>
      <w:ind w:left="851"/>
      <w:jc w:val="both"/>
    </w:pPr>
    <w:rPr>
      <w:rFonts w:ascii="Helvetica" w:eastAsia="Times New Roman" w:hAnsi="Helvetica"/>
      <w:lang w:val="de-DE"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Larissa">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a954d0d-b974-41d0-9c60-9525aa0dff49"/>
    <TaxKeywordTaxHTField xmlns="07af228e-9c31-4569-b42f-af5afdb7394a">
      <Terms xmlns="http://schemas.microsoft.com/office/infopath/2007/PartnerControls"/>
    </TaxKeywordTaxHTField>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A46B13F25B65EF40860928403E971C8C" ma:contentTypeVersion="2" ma:contentTypeDescription="Ein neues Dokument erstellen." ma:contentTypeScope="" ma:versionID="e67e1d8ca3492be790d3249e7a029619">
  <xsd:schema xmlns:xsd="http://www.w3.org/2001/XMLSchema" xmlns:xs="http://www.w3.org/2001/XMLSchema" xmlns:p="http://schemas.microsoft.com/office/2006/metadata/properties" xmlns:ns2="ca954d0d-b974-41d0-9c60-9525aa0dff49" xmlns:ns3="07af228e-9c31-4569-b42f-af5afdb7394a" xmlns:ns4="d0ba496a-2543-4ca9-b644-f0bd4de4c93d" targetNamespace="http://schemas.microsoft.com/office/2006/metadata/properties" ma:root="true" ma:fieldsID="0b2d2e817325a6485d500ecccb9364f2" ns2:_="" ns3:_="" ns4:_="">
    <xsd:import namespace="ca954d0d-b974-41d0-9c60-9525aa0dff49"/>
    <xsd:import namespace="07af228e-9c31-4569-b42f-af5afdb7394a"/>
    <xsd:import namespace="d0ba496a-2543-4ca9-b644-f0bd4de4c93d"/>
    <xsd:element name="properties">
      <xsd:complexType>
        <xsd:sequence>
          <xsd:element name="documentManagement">
            <xsd:complexType>
              <xsd:all>
                <xsd:element ref="ns3:TaxKeywordTaxHTField" minOccurs="0"/>
                <xsd:element ref="ns2:TaxCatchAll"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954d0d-b974-41d0-9c60-9525aa0dff49" elementFormDefault="qualified">
    <xsd:import namespace="http://schemas.microsoft.com/office/2006/documentManagement/types"/>
    <xsd:import namespace="http://schemas.microsoft.com/office/infopath/2007/PartnerControls"/>
    <xsd:element name="TaxCatchAll" ma:index="10" nillable="true" ma:displayName="Taxonomy Catch All Column" ma:description="" ma:hidden="true" ma:list="{4686A8B2-E367-466F-BC62-8740323FB228}" ma:internalName="TaxCatchAll" ma:showField="CatchAllData" ma:web="{1f2c5584-73d2-4ac7-90af-9201190eb55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7af228e-9c31-4569-b42f-af5afdb7394a"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Unternehmensstichwörter" ma:fieldId="{23f27201-bee3-471e-b2e7-b64fd8b7ca38}" ma:taxonomyMulti="true" ma:sspId="b05fb4bd-244d-47f1-8b6b-c9b37bc9945f" ma:termSetId="00000000-0000-0000-0000-000000000000" ma:anchorId="00000000-0000-0000-0000-000000000000" ma:open="true" ma:isKeyword="tru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0ba496a-2543-4ca9-b644-f0bd4de4c93d" elementFormDefault="qualified">
    <xsd:import namespace="http://schemas.microsoft.com/office/2006/documentManagement/types"/>
    <xsd:import namespace="http://schemas.microsoft.com/office/infopath/2007/PartnerControls"/>
    <xsd:element name="SharedWithUsers" ma:index="1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CD8A5A-BCB0-463C-96E2-8FC92D67024E}">
  <ds:schemaRefs>
    <ds:schemaRef ds:uri="http://schemas.microsoft.com/office/2006/metadata/properties"/>
    <ds:schemaRef ds:uri="http://schemas.microsoft.com/office/infopath/2007/PartnerControls"/>
    <ds:schemaRef ds:uri="ca954d0d-b974-41d0-9c60-9525aa0dff49"/>
    <ds:schemaRef ds:uri="07af228e-9c31-4569-b42f-af5afdb7394a"/>
  </ds:schemaRefs>
</ds:datastoreItem>
</file>

<file path=customXml/itemProps2.xml><?xml version="1.0" encoding="utf-8"?>
<ds:datastoreItem xmlns:ds="http://schemas.openxmlformats.org/officeDocument/2006/customXml" ds:itemID="{A892229E-F96C-49DF-83C5-D650F0D4D0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954d0d-b974-41d0-9c60-9525aa0dff49"/>
    <ds:schemaRef ds:uri="07af228e-9c31-4569-b42f-af5afdb7394a"/>
    <ds:schemaRef ds:uri="d0ba496a-2543-4ca9-b644-f0bd4de4c9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599137-713E-45E4-BA98-4202952B118C}">
  <ds:schemaRefs>
    <ds:schemaRef ds:uri="http://schemas.openxmlformats.org/officeDocument/2006/bibliography"/>
  </ds:schemaRefs>
</ds:datastoreItem>
</file>

<file path=customXml/itemProps4.xml><?xml version="1.0" encoding="utf-8"?>
<ds:datastoreItem xmlns:ds="http://schemas.openxmlformats.org/officeDocument/2006/customXml" ds:itemID="{21FFD9B2-E02F-486D-B37C-63A5EC5B3C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706</Words>
  <Characters>3528</Characters>
  <Application>Microsoft Office Word</Application>
  <DocSecurity>0</DocSecurity>
  <Lines>147</Lines>
  <Paragraphs>55</Paragraphs>
  <ScaleCrop>false</ScaleCrop>
  <Company>BMW AG</Company>
  <LinksUpToDate>false</LinksUpToDate>
  <CharactersWithSpaces>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Schnellbögl, Rieger</dc:creator>
  <cp:lastModifiedBy>Kyson Wang</cp:lastModifiedBy>
  <cp:revision>9</cp:revision>
  <cp:lastPrinted>2013-09-12T07:03:00Z</cp:lastPrinted>
  <dcterms:created xsi:type="dcterms:W3CDTF">2025-08-14T14:24:00Z</dcterms:created>
  <dcterms:modified xsi:type="dcterms:W3CDTF">2026-05-16T13:59:00Z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0x010100A46B13F25B65EF40860928403E971C8C</vt:lpwstr>
  </property>
  <property fmtid="{D5CDD505-2E9C-101B-9397-08002B2CF9AE}" pid="3" name="MSIP_Label_e6935750-240b-48e4-a615-66942a738439_ActionId">
    <vt:lpwstr>d1467997-414d-43c4-a1dc-dd5c7298dfe3</vt:lpwstr>
  </property>
  <property fmtid="{D5CDD505-2E9C-101B-9397-08002B2CF9AE}" pid="4" name="MSIP_Label_e6935750-240b-48e4-a615-66942a738439_ContentBits">
    <vt:lpwstr>2</vt:lpwstr>
  </property>
  <property fmtid="{D5CDD505-2E9C-101B-9397-08002B2CF9AE}" pid="5" name="MSIP_Label_e6935750-240b-48e4-a615-66942a738439_Enabled">
    <vt:lpwstr>true</vt:lpwstr>
  </property>
  <property fmtid="{D5CDD505-2E9C-101B-9397-08002B2CF9AE}" pid="6" name="MSIP_Label_e6935750-240b-48e4-a615-66942a738439_Method">
    <vt:lpwstr>Standard</vt:lpwstr>
  </property>
  <property fmtid="{D5CDD505-2E9C-101B-9397-08002B2CF9AE}" pid="7" name="MSIP_Label_e6935750-240b-48e4-a615-66942a738439_Name">
    <vt:lpwstr>e6935750-240b-48e4-a615-66942a738439</vt:lpwstr>
  </property>
  <property fmtid="{D5CDD505-2E9C-101B-9397-08002B2CF9AE}" pid="8" name="MSIP_Label_e6935750-240b-48e4-a615-66942a738439_SetDate">
    <vt:lpwstr>2025-02-20T15:48:14Z</vt:lpwstr>
  </property>
  <property fmtid="{D5CDD505-2E9C-101B-9397-08002B2CF9AE}" pid="9" name="MSIP_Label_e6935750-240b-48e4-a615-66942a738439_SiteId">
    <vt:lpwstr>ce849bab-cc1c-465b-b62e-18f07c9ac198</vt:lpwstr>
  </property>
  <property fmtid="{D5CDD505-2E9C-101B-9397-08002B2CF9AE}" pid="10" name="TaxKeyword">
    <vt:lpwstr/>
  </property>
  <property fmtid="{D5CDD505-2E9C-101B-9397-08002B2CF9AE}" pid="11" name="_NewReviewCycle">
    <vt:lpwstr/>
  </property>
  <property fmtid="{D5CDD505-2E9C-101B-9397-08002B2CF9AE}" pid="12" name="KSOTemplateDocerSaveRecord">
    <vt:lpwstr>eyJoZGlkIjoiMGUyY2RlYTljYzgxMTMwYzNiMjBkNzYyYWE5OWIzNTkiLCJ1c2VySWQiOiIyNTEyODQ4NjMifQ==</vt:lpwstr>
  </property>
  <property fmtid="{D5CDD505-2E9C-101B-9397-08002B2CF9AE}" pid="13" name="KSOProductBuildVer">
    <vt:lpwstr>2052-12.1.0.24034</vt:lpwstr>
  </property>
  <property fmtid="{D5CDD505-2E9C-101B-9397-08002B2CF9AE}" pid="14" name="ICV">
    <vt:lpwstr>F7B40210F3B4447D9AF21695B8D68398_12</vt:lpwstr>
  </property>
</Properties>
</file>