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sz w:val="36"/>
        </w:rPr>
        <w:t>首页（运营看板）— 需求说明</w:t>
      </w:r>
    </w:p>
    <w:p>
      <w:pPr>
        <w:pStyle w:val="Heading1"/>
      </w:pPr>
      <w:r>
        <w:t>1. 文档说明</w:t>
      </w:r>
    </w:p>
    <w:p>
      <w:r>
        <w:rPr>
          <w:rFonts w:ascii="微软雅黑" w:hAnsi="微软雅黑" w:eastAsia="微软雅黑"/>
        </w:rPr>
        <w:t>约定员工端「首页」统计口径与展示规则。侧栏入口为「首页」，登录后默认进入本页。本期只读统计，不做下钻跳转。</w:t>
      </w:r>
    </w:p>
    <w:p>
      <w:pPr>
        <w:pStyle w:val="Heading2"/>
      </w:pPr>
      <w:r>
        <w:t>1.1 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版本号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修订日期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修订人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修订说明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V1.0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2026-10-31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初稿（含首页命名及定稿交互）</w:t>
            </w:r>
          </w:p>
        </w:tc>
      </w:tr>
    </w:tbl>
    <w:p>
      <w:pPr>
        <w:pStyle w:val="Heading2"/>
      </w:pPr>
      <w:r>
        <w:t>1.2 名词解释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名词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定义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预计到港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按 ETA 统计的预计到港量（前瞻）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实际到仓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已实际到仓量（历史）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实际拆柜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已实际拆柜量（历史）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下单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下单量（历史）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柜数 / 方数 / 重量(LB)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统计指标：柜、CBM、磅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船司 / 客户 / Move Type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走势拆解维度；表头首列随切换显示对应名称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本周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自然周：周一～周日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占比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行「区间合计」÷ 各行区间合计之和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相对本周 / 相对今天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仅预计到港：其余周期均值相对基准期（本周或今天）的涨跌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环比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仅实际类：近月为本周相对上周；近周为今天相对昨天</w:t>
            </w:r>
          </w:p>
        </w:tc>
      </w:tr>
    </w:tbl>
    <w:p>
      <w:pPr>
        <w:pStyle w:val="Heading1"/>
      </w:pPr>
      <w:r>
        <w:t>2. 目标</w:t>
      </w:r>
    </w:p>
    <w:p>
      <w:r>
        <w:rPr>
          <w:rFonts w:ascii="微软雅黑" w:hAnsi="微软雅黑" w:eastAsia="微软雅黑"/>
        </w:rPr>
        <w:t>运营人员一眼看清今日四类柜量，以及按船司 / 客户 / Move Type 的近月、近周走势与结构占比。</w:t>
      </w:r>
    </w:p>
    <w:p>
      <w:r>
        <w:rPr>
          <w:rFonts w:ascii="微软雅黑" w:hAnsi="微软雅黑" w:eastAsia="微软雅黑"/>
          <w:b/>
        </w:rPr>
        <w:t>本期不做：</w:t>
      </w:r>
      <w:r>
        <w:rPr>
          <w:rFonts w:ascii="微软雅黑" w:hAnsi="微软雅黑" w:eastAsia="微软雅黑"/>
        </w:rPr>
        <w:t xml:space="preserve"> 点击数字跳转明细、自定义日期、图表主视图。</w:t>
      </w:r>
    </w:p>
    <w:p>
      <w:pPr>
        <w:pStyle w:val="Heading1"/>
      </w:pPr>
      <w:r>
        <w:t>3. 页面结构</w:t>
      </w:r>
    </w:p>
    <w:p>
      <w:pPr>
        <w:pStyle w:val="ListBullet"/>
      </w:pPr>
      <w:r>
        <w:rPr>
          <w:rFonts w:ascii="微软雅黑" w:hAnsi="微软雅黑" w:eastAsia="微软雅黑"/>
          <w:b/>
        </w:rPr>
        <w:t>今日概览</w:t>
      </w:r>
      <w:r>
        <w:rPr>
          <w:rFonts w:ascii="微软雅黑" w:hAnsi="微软雅黑" w:eastAsia="微软雅黑"/>
        </w:rPr>
        <w:t>：预计到港、实际到仓、实际拆柜、下单四张只读卡；主数字为今日柜数；副文案为对比提示；支持刷新与更新时间（精确到秒）。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近期走势</w:t>
      </w:r>
      <w:r>
        <w:rPr>
          <w:rFonts w:ascii="微软雅黑" w:hAnsi="微软雅黑" w:eastAsia="微软雅黑"/>
        </w:rPr>
        <w:t>：全局时间范围（近 1 月 / 近 1 周）+ 四张独立走势卡。</w:t>
      </w:r>
    </w:p>
    <w:p>
      <w:r>
        <w:rPr>
          <w:rFonts w:ascii="微软雅黑" w:hAnsi="微软雅黑" w:eastAsia="微软雅黑"/>
        </w:rPr>
        <w:t>界面以现有原型为准。</w:t>
      </w:r>
    </w:p>
    <w:p>
      <w:pPr>
        <w:pStyle w:val="Heading1"/>
      </w:pPr>
      <w:r>
        <w:t>4. 核心业务规则</w:t>
      </w:r>
    </w:p>
    <w:p>
      <w:pPr>
        <w:pStyle w:val="Heading2"/>
      </w:pPr>
      <w:r>
        <w:t>4.1 四类场景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场景</w:t>
            </w:r>
          </w:p>
        </w:tc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时间方向</w:t>
            </w:r>
          </w:p>
        </w:tc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走势对比列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预计到港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前瞻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近月：相对本周；近周：相对今天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实际到仓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历史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环比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实际拆柜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历史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环比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下单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历史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环比</w:t>
            </w:r>
          </w:p>
        </w:tc>
      </w:tr>
    </w:tbl>
    <w:p>
      <w:r>
        <w:rPr>
          <w:rFonts w:ascii="微软雅黑" w:hAnsi="微软雅黑" w:eastAsia="微软雅黑"/>
        </w:rPr>
        <w:t>四卡相互独立：各有维度（按船司 / 按客户 / 按 Move Type）与指标（柜数 / 方数 / 重量(LB)）。</w:t>
      </w:r>
    </w:p>
    <w:p>
      <w:pPr>
        <w:pStyle w:val="Heading2"/>
      </w:pPr>
      <w:r>
        <w:t>4.2 今日概览对比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卡片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副文案口径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预计到港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较本周日均 N 柜 + 涨跌（今日相对本周合计÷7）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实际到仓 / 实际拆柜 / 下单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较昨日 N 柜 + 涨跌</w:t>
            </w:r>
          </w:p>
        </w:tc>
      </w:tr>
    </w:tbl>
    <w:p>
      <w:pPr>
        <w:pStyle w:val="Heading2"/>
      </w:pPr>
      <w:r>
        <w:t>4.3 时间范围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范围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默认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预计到港列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实际类列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近 1 月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本周 + 后 3 周（共 4 周）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本周 + 上周 + 前 2 周 + 前 3 周（共 4 周）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近 1 周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否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今天起往后 7 天（含今天）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今天起往前 7 天（含今天）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</w:rPr>
        <w:t>近月周边界为周一～周日。</w:t>
      </w:r>
    </w:p>
    <w:p>
      <w:pPr>
        <w:pStyle w:val="ListBullet"/>
      </w:pPr>
      <w:r>
        <w:rPr>
          <w:rFonts w:ascii="微软雅黑" w:hAnsi="微软雅黑" w:eastAsia="微软雅黑"/>
        </w:rPr>
        <w:t>无自定义日期。</w:t>
      </w:r>
    </w:p>
    <w:p>
      <w:pPr>
        <w:pStyle w:val="Heading2"/>
      </w:pPr>
      <w:r>
        <w:t>4.4 指标与维度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维度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可选指标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默认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按船司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柜数、方数、重量(LB)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船司 + 柜数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最多 20 行（含「其他」）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按客户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柜数、方数、重量(LB)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同上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按 Move Type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方数、重量(LB)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同上；</w:t>
            </w:r>
            <w:r>
              <w:rPr>
                <w:rFonts w:ascii="微软雅黑" w:hAnsi="微软雅黑" w:eastAsia="微软雅黑"/>
                <w:b/>
                <w:sz w:val="20"/>
              </w:rPr>
              <w:t>柜数置灰保留、不可选</w:t>
            </w:r>
            <w:r>
              <w:rPr>
                <w:rFonts w:ascii="微软雅黑" w:hAnsi="微软雅黑" w:eastAsia="微软雅黑"/>
                <w:sz w:val="20"/>
              </w:rPr>
              <w:t>（避免重复计柜）</w:t>
            </w:r>
          </w:p>
        </w:tc>
      </w:tr>
    </w:tbl>
    <w:p>
      <w:r>
        <w:rPr>
          <w:rFonts w:ascii="微软雅黑" w:hAnsi="微软雅黑" w:eastAsia="微软雅黑"/>
        </w:rPr>
        <w:t>切到 Move Type 时若当前为柜数，自动切到方数；柜数按钮仍显示但置灰，避免布局跳动。</w:t>
      </w:r>
    </w:p>
    <w:p>
      <w:pPr>
        <w:pStyle w:val="Heading2"/>
      </w:pPr>
      <w:r>
        <w:t>4.5 表格列与计算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列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规则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首列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随维度切换显示「船司 / 客户 / Move Type」，不用「维度」；超过 20 个时保留前 19 +「其他（N 个）」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各周期列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对应周/日指标值；今天列可加粗；纯展示，不可点击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合计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当前可见各周期列之和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占比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行合计 ÷ 各行合计之和；仅船司、客户展示；Move Type 不展示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相对本周 / 相对今天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仅预计到港。小柱图：各周期走势（深蓝柱为基准期）。百分比：其余周期均值相对基准期。公式：周均 = 后 3 周之和÷3；涨跌% = (周均−本周)÷本周×100%（近周同理，基准为今天，其余 6 天日均）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环比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仅实际类。小柱图同上。百分比：近月 = (本周−上周)÷上周；近周 = (今天−昨天)÷昨天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合计行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汇总各周期、合计、占比（100%）；</w:t>
            </w:r>
            <w:r>
              <w:rPr>
                <w:rFonts w:ascii="微软雅黑" w:hAnsi="微软雅黑" w:eastAsia="微软雅黑"/>
                <w:b/>
                <w:sz w:val="20"/>
              </w:rPr>
              <w:t>走势对比列留空</w:t>
            </w:r>
          </w:p>
        </w:tc>
      </w:tr>
    </w:tbl>
    <w:p>
      <w:r>
        <w:rPr>
          <w:rFonts w:ascii="微软雅黑" w:hAnsi="微软雅黑" w:eastAsia="微软雅黑"/>
        </w:rPr>
        <w:t>涨跌：上涨红、下跌绿；变化不足 0.5% 为持平；基准为 0 且当期有量显示「新增」。</w:t>
      </w:r>
    </w:p>
    <w:p>
      <w:r>
        <w:rPr>
          <w:rFonts w:ascii="微软雅黑" w:hAnsi="微软雅黑" w:eastAsia="微软雅黑"/>
        </w:rPr>
        <w:t>走势对比列表头左侧有说明 icon，悬停展示规则。</w:t>
      </w:r>
    </w:p>
    <w:p>
      <w:pPr>
        <w:pStyle w:val="Heading2"/>
      </w:pPr>
      <w:r>
        <w:t>4.6 柜数口径</w:t>
      </w:r>
    </w:p>
    <w:p>
      <w:pPr>
        <w:pStyle w:val="ListBullet"/>
      </w:pPr>
      <w:r>
        <w:rPr>
          <w:rFonts w:ascii="微软雅黑" w:hAnsi="微软雅黑" w:eastAsia="微软雅黑"/>
        </w:rPr>
        <w:t>今日概览柜数、按船司/客户看柜数：按船司柜数加总，避免 Move Type 重复计柜。</w:t>
      </w:r>
    </w:p>
    <w:p>
      <w:pPr>
        <w:pStyle w:val="ListBullet"/>
      </w:pPr>
      <w:r>
        <w:rPr>
          <w:rFonts w:ascii="微软雅黑" w:hAnsi="微软雅黑" w:eastAsia="微软雅黑"/>
        </w:rPr>
        <w:t>方数、重量(LB) 可按各维度直接汇总。</w:t>
      </w:r>
    </w:p>
    <w:p>
      <w:pPr>
        <w:pStyle w:val="Heading2"/>
      </w:pPr>
      <w:r>
        <w:t>4.7 展示约束</w:t>
      </w:r>
    </w:p>
    <w:p>
      <w:pPr>
        <w:pStyle w:val="ListBullet"/>
      </w:pPr>
      <w:r>
        <w:rPr>
          <w:rFonts w:ascii="微软雅黑" w:hAnsi="微软雅黑" w:eastAsia="微软雅黑"/>
        </w:rPr>
        <w:t>表体固定约 5 行可视高度；不足留白，超过内部滚动；表头吸顶、合计吸底。</w:t>
      </w:r>
    </w:p>
    <w:p>
      <w:pPr>
        <w:pStyle w:val="ListBullet"/>
      </w:pPr>
      <w:r>
        <w:rPr>
          <w:rFonts w:ascii="微软雅黑" w:hAnsi="微软雅黑" w:eastAsia="微软雅黑"/>
        </w:rPr>
        <w:t>每张走势卡：标题行右侧为维度切换 + 指标切换（同一行）。</w:t>
      </w:r>
    </w:p>
    <w:p>
      <w:pPr>
        <w:pStyle w:val="Heading1"/>
      </w:pPr>
      <w:r>
        <w:t>5. 界面要点</w:t>
      </w:r>
    </w:p>
    <w:p>
      <w:r>
        <w:rPr>
          <w:rFonts w:ascii="微软雅黑" w:hAnsi="微软雅黑" w:eastAsia="微软雅黑"/>
        </w:rPr>
        <w:t>以现有原型「首页」为准：</w:t>
      </w:r>
    </w:p>
    <w:p>
      <w:pPr>
        <w:pStyle w:val="ListBullet"/>
      </w:pPr>
      <w:r>
        <w:rPr>
          <w:rFonts w:ascii="微软雅黑" w:hAnsi="微软雅黑" w:eastAsia="微软雅黑"/>
        </w:rPr>
        <w:t>侧栏「首页」；登录默认进入本页。</w:t>
      </w:r>
    </w:p>
    <w:p>
      <w:pPr>
        <w:pStyle w:val="ListBullet"/>
      </w:pPr>
      <w:r>
        <w:rPr>
          <w:rFonts w:ascii="微软雅黑" w:hAnsi="微软雅黑" w:eastAsia="微软雅黑"/>
        </w:rPr>
        <w:t>近期走势仅「近 1 月」「近 1 周」，近 1 月在前且默认选中。</w:t>
      </w:r>
    </w:p>
    <w:p>
      <w:pPr>
        <w:pStyle w:val="ListBullet"/>
      </w:pPr>
      <w:r>
        <w:rPr>
          <w:rFonts w:ascii="微软雅黑" w:hAnsi="微软雅黑" w:eastAsia="微软雅黑"/>
        </w:rPr>
        <w:t>指标文案：柜数、方数、重量(LB)。</w:t>
      </w:r>
    </w:p>
    <w:p>
      <w:pPr>
        <w:pStyle w:val="ListBullet"/>
      </w:pPr>
      <w:r>
        <w:rPr>
          <w:rFonts w:ascii="微软雅黑" w:hAnsi="微软雅黑" w:eastAsia="微软雅黑"/>
        </w:rPr>
        <w:t>数字只统计、不跳转明细。</w:t>
      </w:r>
    </w:p>
    <w:p>
      <w:pPr>
        <w:pStyle w:val="Heading1"/>
      </w:pPr>
      <w:r>
        <w:t>6. 验收要点</w:t>
      </w:r>
    </w:p>
    <w:p>
      <w:pPr>
        <w:pStyle w:val="ListBullet"/>
      </w:pPr>
      <w:r>
        <w:rPr>
          <w:rFonts w:ascii="微软雅黑" w:hAnsi="微软雅黑" w:eastAsia="微软雅黑"/>
        </w:rPr>
        <w:t>近 1 月 / 近 1 周列集合与 4.3 一致；预计到港与实际类时间方向不错用。</w:t>
      </w:r>
    </w:p>
    <w:p>
      <w:pPr>
        <w:pStyle w:val="ListBullet"/>
      </w:pPr>
      <w:r>
        <w:rPr>
          <w:rFonts w:ascii="微软雅黑" w:hAnsi="微软雅黑" w:eastAsia="微软雅黑"/>
        </w:rPr>
        <w:t>今日概览：预计到港较本周日均；其余三卡较昨日。</w:t>
      </w:r>
    </w:p>
    <w:p>
      <w:pPr>
        <w:pStyle w:val="ListBullet"/>
      </w:pPr>
      <w:r>
        <w:rPr>
          <w:rFonts w:ascii="微软雅黑" w:hAnsi="微软雅黑" w:eastAsia="微软雅黑"/>
        </w:rPr>
        <w:t>Move Type 下柜数置灰不可点；从柜数切入时自动切到方数且布局不跳动。</w:t>
      </w:r>
    </w:p>
    <w:p>
      <w:pPr>
        <w:pStyle w:val="ListBullet"/>
      </w:pPr>
      <w:r>
        <w:rPr>
          <w:rFonts w:ascii="微软雅黑" w:hAnsi="微软雅黑" w:eastAsia="微软雅黑"/>
        </w:rPr>
        <w:t>首列表头随维度切换为船司/客户/Move Type；各维度最多 20 行（含其他）；占比合计 100%。</w:t>
      </w:r>
    </w:p>
    <w:p>
      <w:pPr>
        <w:pStyle w:val="ListBullet"/>
      </w:pPr>
      <w:r>
        <w:rPr>
          <w:rFonts w:ascii="微软雅黑" w:hAnsi="微软雅黑" w:eastAsia="微软雅黑"/>
        </w:rPr>
        <w:t>预计到港为相对本周/今天；实际类为环比；合计行无走势图。</w:t>
      </w:r>
    </w:p>
    <w:p>
      <w:pPr>
        <w:pStyle w:val="ListBullet"/>
      </w:pPr>
      <w:r>
        <w:rPr>
          <w:rFonts w:ascii="微软雅黑" w:hAnsi="微软雅黑" w:eastAsia="微软雅黑"/>
        </w:rPr>
        <w:t>表体 5 行高内滚动，合计可见；点击数值不跳转。</w:t>
      </w:r>
    </w:p>
    <w:p>
      <w:pPr>
        <w:pStyle w:val="ListBullet"/>
      </w:pPr>
      <w:r>
        <w:rPr>
          <w:rFonts w:ascii="微软雅黑" w:hAnsi="微软雅黑" w:eastAsia="微软雅黑"/>
        </w:rPr>
        <w:t>侧栏与登录落地为首页。</w:t>
      </w:r>
    </w:p>
    <w:p>
      <w:pPr>
        <w:pStyle w:val="Heading1"/>
      </w:pPr>
      <w:r>
        <w:t>7. 数据统计与埋点</w:t>
      </w:r>
    </w:p>
    <w:p>
      <w:pPr>
        <w:pStyle w:val="Heading2"/>
      </w:pPr>
      <w:r>
        <w:t>7.1 业务数据监控</w:t>
      </w:r>
    </w:p>
    <w:p>
      <w:pPr>
        <w:pStyle w:val="Heading2"/>
      </w:pPr>
      <w:r>
        <w:t>7.2 埋点需求清单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20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20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20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20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A203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