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40" w:line="276" w:lineRule="auto"/>
        <w:jc w:val="center"/>
      </w:pPr>
      <w:r>
        <w:rPr>
          <w:rFonts w:ascii="微软雅黑" w:hAnsi="微软雅黑" w:eastAsia="微软雅黑"/>
          <w:b/>
          <w:sz w:val="36"/>
        </w:rPr>
        <w:t>拆柜时效表 — 产品需求文档 (PRD)</w:t>
      </w:r>
    </w:p>
    <w:p>
      <w:pPr>
        <w:pStyle w:val="Heading1"/>
        <w:spacing w:before="280" w:after="120" w:line="276" w:lineRule="auto"/>
      </w:pPr>
      <w:r>
        <w:rPr>
          <w:rFonts w:ascii="微软雅黑" w:hAnsi="微软雅黑" w:eastAsia="微软雅黑"/>
          <w:b/>
          <w:sz w:val="28"/>
        </w:rPr>
        <w:t>1. 文档说明</w:t>
      </w:r>
    </w:p>
    <w:p>
      <w:pPr>
        <w:spacing w:before="60" w:after="60" w:line="276" w:lineRule="auto"/>
      </w:pPr>
      <w:r>
        <w:rPr>
          <w:rFonts w:ascii="微软雅黑" w:hAnsi="微软雅黑" w:eastAsia="微软雅黑"/>
          <w:b w:val="0"/>
          <w:sz w:val="22"/>
        </w:rPr>
        <w:t xml:space="preserve">员工端「报表中心 · </w:t>
      </w:r>
      <w:r>
        <w:rPr>
          <w:rFonts w:ascii="微软雅黑" w:hAnsi="微软雅黑" w:eastAsia="微软雅黑"/>
          <w:b/>
          <w:sz w:val="22"/>
        </w:rPr>
        <w:t>拆柜时效表</w:t>
      </w:r>
      <w:r>
        <w:rPr>
          <w:rFonts w:ascii="微软雅黑" w:hAnsi="微软雅黑" w:eastAsia="微软雅黑"/>
          <w:b w:val="0"/>
          <w:sz w:val="22"/>
        </w:rPr>
        <w:t>」：按柜只读查看提柜→拆柜时效，支持查询与导出。界面以原型为准；本文写数据口径与业务规则。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sz w:val="24"/>
        </w:rPr>
        <w:t>1.1 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 w:val="clear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版本号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修订日期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修订人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修订说明</w:t>
            </w:r>
          </w:p>
        </w:tc>
      </w:tr>
      <w:tr>
        <w:tc>
          <w:tcPr>
            <w:tcW w:type="dxa" w:w="2436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V1.0</w:t>
            </w:r>
          </w:p>
        </w:tc>
        <w:tc>
          <w:tcPr>
            <w:tcW w:type="dxa" w:w="2436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2026-10-09</w:t>
            </w:r>
          </w:p>
        </w:tc>
        <w:tc>
          <w:tcPr>
            <w:tcW w:type="dxa" w:w="2436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type="dxa" w:w="2436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初稿</w:t>
            </w:r>
          </w:p>
        </w:tc>
      </w:tr>
    </w:tbl>
    <w:p/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sz w:val="24"/>
        </w:rPr>
        <w:t>1.2 名词解释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专有名词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解释/定义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提柜日期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提拆派计划</w:t>
            </w:r>
            <w:r>
              <w:rPr>
                <w:rFonts w:ascii="微软雅黑" w:hAnsi="微软雅黑" w:eastAsia="微软雅黑"/>
                <w:b/>
                <w:sz w:val="20"/>
              </w:rPr>
              <w:t>实际提柜日期</w:t>
            </w:r>
            <w:r>
              <w:rPr>
                <w:rFonts w:ascii="微软雅黑" w:hAnsi="微软雅黑" w:eastAsia="微软雅黑"/>
                <w:b w:val="0"/>
                <w:sz w:val="20"/>
              </w:rPr>
              <w:t>（yyyy-mm-dd）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拆柜日期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拆柜完成后的日期（yyyy-mm-dd）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时效（天）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拆柜日期 − 提柜日期（自然日；同日为 0）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客户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客户简称（与提拆派计划一致）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客户全称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客户主数据完整名称；无则空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柜型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计划箱型（如 20GP、40HQ）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装柜混乱 / 柜子异常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拆柜报告标记，取「是」或「否」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拆柜备注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拆柜报告备注原文；无则空</w:t>
            </w:r>
          </w:p>
        </w:tc>
      </w:tr>
    </w:tbl>
    <w:p/>
    <w:p>
      <w:pPr>
        <w:pStyle w:val="Heading1"/>
        <w:spacing w:before="280" w:after="120" w:line="276" w:lineRule="auto"/>
      </w:pPr>
      <w:r>
        <w:rPr>
          <w:rFonts w:ascii="微软雅黑" w:hAnsi="微软雅黑" w:eastAsia="微软雅黑"/>
          <w:b/>
          <w:sz w:val="28"/>
        </w:rPr>
        <w:t>2. 产品概述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sz w:val="24"/>
        </w:rPr>
        <w:t>2.1 背景与目标</w:t>
      </w:r>
    </w:p>
    <w:p>
      <w:pPr>
        <w:spacing w:before="60" w:after="60" w:line="276" w:lineRule="auto"/>
      </w:pPr>
      <w:r>
        <w:rPr>
          <w:rFonts w:ascii="微软雅黑" w:hAnsi="微软雅黑" w:eastAsia="微软雅黑"/>
          <w:b w:val="0"/>
          <w:sz w:val="22"/>
        </w:rPr>
        <w:t>按月核对各柜提柜到拆柜耗时，筛装柜混乱/异常柜，并导出复盘。数据来自提拆派计划与拆柜报告，本页只读。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诉求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仓配 / 提拆派运营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按月看时效与异常标记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客服 / 单证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按客户、柜号、单号定位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管理 / 复盘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导出筛选结果</w:t>
            </w:r>
          </w:p>
        </w:tc>
      </w:tr>
    </w:tbl>
    <w:p/>
    <w:p>
      <w:pPr>
        <w:spacing w:before="60" w:after="60" w:line="276" w:lineRule="auto"/>
      </w:pPr>
      <w:r>
        <w:rPr>
          <w:rFonts w:ascii="微软雅黑" w:hAnsi="微软雅黑" w:eastAsia="微软雅黑"/>
          <w:b/>
          <w:sz w:val="22"/>
        </w:rPr>
        <w:t>本期不包含：</w:t>
      </w:r>
      <w:r>
        <w:rPr>
          <w:rFonts w:ascii="微软雅黑" w:hAnsi="微软雅黑" w:eastAsia="微软雅黑"/>
          <w:b w:val="0"/>
          <w:sz w:val="22"/>
        </w:rPr>
        <w:t xml:space="preserve"> 汇总看板/趋势图；本页改数；按勾选导出；件数/重量/Move Type；客户端开放。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sz w:val="24"/>
        </w:rPr>
        <w:t>2.2 关联模块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关系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提拆派计划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客户简称、柜号、提单号、系统单号、柜型、提柜日期、装柜地址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拆柜报告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拆柜日期、服务商、装柜混乱、柜子异常、拆柜备注；完成后进入本表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客户管理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客户全称与简称；查询下拉展示「全称(简称)」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供应商管理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拆柜服务商多选选项</w:t>
            </w:r>
          </w:p>
        </w:tc>
      </w:tr>
    </w:tbl>
    <w:p/>
    <w:p>
      <w:pPr>
        <w:pStyle w:val="Heading1"/>
        <w:spacing w:before="280" w:after="120" w:line="276" w:lineRule="auto"/>
      </w:pPr>
      <w:r>
        <w:rPr>
          <w:rFonts w:ascii="微软雅黑" w:hAnsi="微软雅黑" w:eastAsia="微软雅黑"/>
          <w:b/>
          <w:sz w:val="28"/>
        </w:rPr>
        <w:t>3. 核心规则</w:t>
      </w:r>
    </w:p>
    <w:p>
      <w:pPr>
        <w:pStyle w:val="ListNumber"/>
        <w:spacing w:before="40" w:after="40" w:line="276" w:lineRule="auto"/>
      </w:pPr>
      <w:r>
        <w:rPr>
          <w:rFonts w:ascii="微软雅黑" w:hAnsi="微软雅黑" w:eastAsia="微软雅黑"/>
          <w:b/>
          <w:sz w:val="22"/>
        </w:rPr>
        <w:t>入表条件：</w:t>
      </w:r>
      <w:r>
        <w:rPr>
          <w:rFonts w:ascii="微软雅黑" w:hAnsi="微软雅黑" w:eastAsia="微软雅黑"/>
          <w:b w:val="0"/>
          <w:sz w:val="22"/>
        </w:rPr>
        <w:t xml:space="preserve"> 已有拆柜日期；一行一柜；未拆柜/已取消不进表。</w:t>
      </w:r>
    </w:p>
    <w:p>
      <w:pPr>
        <w:pStyle w:val="ListNumber"/>
        <w:spacing w:before="40" w:after="40" w:line="276" w:lineRule="auto"/>
      </w:pPr>
      <w:r>
        <w:rPr>
          <w:rFonts w:ascii="微软雅黑" w:hAnsi="微软雅黑" w:eastAsia="微软雅黑"/>
          <w:b/>
          <w:sz w:val="22"/>
        </w:rPr>
        <w:t>只读：</w:t>
      </w:r>
      <w:r>
        <w:rPr>
          <w:rFonts w:ascii="微软雅黑" w:hAnsi="微软雅黑" w:eastAsia="微软雅黑"/>
          <w:b w:val="0"/>
          <w:sz w:val="22"/>
        </w:rPr>
        <w:t xml:space="preserve"> 不回写计划或拆柜报告。</w:t>
      </w:r>
    </w:p>
    <w:p>
      <w:pPr>
        <w:pStyle w:val="ListNumber"/>
        <w:spacing w:before="40" w:after="40" w:line="276" w:lineRule="auto"/>
      </w:pPr>
      <w:r>
        <w:rPr>
          <w:rFonts w:ascii="微软雅黑" w:hAnsi="微软雅黑" w:eastAsia="微软雅黑"/>
          <w:b/>
          <w:sz w:val="22"/>
        </w:rPr>
        <w:t>路径：</w:t>
      </w:r>
      <w:r>
        <w:rPr>
          <w:rFonts w:ascii="微软雅黑" w:hAnsi="微软雅黑" w:eastAsia="微软雅黑"/>
          <w:b w:val="0"/>
          <w:sz w:val="22"/>
        </w:rPr>
        <w:t xml:space="preserve"> 实际提柜 → 完成拆柜报告 → 进本表 → 查询/导出。</w:t>
      </w:r>
    </w:p>
    <w:p>
      <w:pPr>
        <w:pStyle w:val="ListNumber"/>
        <w:spacing w:before="40" w:after="40" w:line="276" w:lineRule="auto"/>
      </w:pPr>
      <w:r>
        <w:rPr>
          <w:rFonts w:ascii="微软雅黑" w:hAnsi="微软雅黑" w:eastAsia="微软雅黑"/>
          <w:b/>
          <w:sz w:val="22"/>
        </w:rPr>
        <w:t>时效：</w:t>
      </w:r>
      <w:r>
        <w:rPr>
          <w:rFonts w:ascii="微软雅黑" w:hAnsi="微软雅黑" w:eastAsia="微软雅黑"/>
          <w:b w:val="0"/>
          <w:sz w:val="22"/>
        </w:rPr>
        <w:t xml:space="preserve"> 拆柜日期 − 提柜日期（自然日）。两日期齐全则计算；缺一则时效为「—」；拆柜日早于提柜日视为异常数据，本表不拦截。</w:t>
      </w:r>
    </w:p>
    <w:p>
      <w:pPr>
        <w:pStyle w:val="Heading1"/>
        <w:spacing w:before="280" w:after="120" w:line="276" w:lineRule="auto"/>
      </w:pPr>
      <w:r>
        <w:rPr>
          <w:rFonts w:ascii="微软雅黑" w:hAnsi="微软雅黑" w:eastAsia="微软雅黑"/>
          <w:b/>
          <w:sz w:val="28"/>
        </w:rPr>
        <w:t>4. 功能说明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sz w:val="24"/>
        </w:rPr>
        <w:t>4.1 默认与重置</w:t>
      </w:r>
    </w:p>
    <w:p>
      <w:pPr>
        <w:spacing w:before="60" w:after="60" w:line="276" w:lineRule="auto"/>
      </w:pPr>
      <w:r>
        <w:rPr>
          <w:rFonts w:ascii="微软雅黑" w:hAnsi="微软雅黑" w:eastAsia="微软雅黑"/>
          <w:b w:val="0"/>
          <w:sz w:val="22"/>
        </w:rPr>
        <w:t xml:space="preserve">进入页面、点击重置：拆柜日期 = </w:t>
      </w:r>
      <w:r>
        <w:rPr>
          <w:rFonts w:ascii="微软雅黑" w:hAnsi="微软雅黑" w:eastAsia="微软雅黑"/>
          <w:b/>
          <w:sz w:val="22"/>
        </w:rPr>
        <w:t>当前月</w:t>
      </w:r>
      <w:r>
        <w:rPr>
          <w:rFonts w:ascii="微软雅黑" w:hAnsi="微软雅黑" w:eastAsia="微软雅黑"/>
          <w:b w:val="0"/>
          <w:sz w:val="22"/>
        </w:rPr>
        <w:t>首日至末日，其它条件清空，自动查询。重置不清空为「无日期」，始终回当月。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sz w:val="24"/>
        </w:rPr>
        <w:t>4.2 查询条件（默认两行，最多 8 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条件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规则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客户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多选；选项展示为 </w:t>
            </w:r>
            <w:r>
              <w:rPr>
                <w:rFonts w:ascii="微软雅黑" w:hAnsi="微软雅黑" w:eastAsia="微软雅黑"/>
                <w:b/>
                <w:sz w:val="20"/>
              </w:rPr>
              <w:t>全称(简称)</w:t>
            </w:r>
            <w:r>
              <w:rPr>
                <w:rFonts w:ascii="微软雅黑" w:hAnsi="微软雅黑" w:eastAsia="微软雅黑"/>
                <w:b w:val="0"/>
                <w:sz w:val="20"/>
              </w:rPr>
              <w:t>（与员工端其它列表一致）；选中后按</w:t>
            </w:r>
            <w:r>
              <w:rPr>
                <w:rFonts w:ascii="微软雅黑" w:hAnsi="微软雅黑" w:eastAsia="微软雅黑"/>
                <w:b/>
                <w:sz w:val="20"/>
              </w:rPr>
              <w:t>简称</w:t>
            </w:r>
            <w:r>
              <w:rPr>
                <w:rFonts w:ascii="微软雅黑" w:hAnsi="微软雅黑" w:eastAsia="微软雅黑"/>
                <w:b w:val="0"/>
                <w:sz w:val="20"/>
              </w:rPr>
              <w:t>精确匹配列表「客户」列；未选不限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柜号 / 提单号 / 系统单号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多值（空格/换行/逗号分隔）；包含匹配；空不限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拆柜日期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闭区间；起止可只填一侧；皆空不限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拆柜服务商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多选；精确匹配；未选不限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装柜混乱 / 柜子异常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全部 / 是 / 否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条件关系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且</w:t>
            </w:r>
          </w:p>
        </w:tc>
      </w:tr>
    </w:tbl>
    <w:p/>
    <w:p>
      <w:pPr>
        <w:spacing w:before="60" w:after="60" w:line="276" w:lineRule="auto"/>
      </w:pPr>
      <w:r>
        <w:rPr>
          <w:rFonts w:ascii="微软雅黑" w:hAnsi="微软雅黑" w:eastAsia="微软雅黑"/>
          <w:b w:val="0"/>
          <w:sz w:val="22"/>
        </w:rPr>
        <w:t>柜型、客户全称、拆柜备注</w:t>
      </w:r>
      <w:r>
        <w:rPr>
          <w:rFonts w:ascii="微软雅黑" w:hAnsi="微软雅黑" w:eastAsia="微软雅黑"/>
          <w:b/>
          <w:sz w:val="22"/>
        </w:rPr>
        <w:t>仅列表/导出</w:t>
      </w:r>
      <w:r>
        <w:rPr>
          <w:rFonts w:ascii="微软雅黑" w:hAnsi="微软雅黑" w:eastAsia="微软雅黑"/>
          <w:b w:val="0"/>
          <w:sz w:val="22"/>
        </w:rPr>
        <w:t>，不进查询区。无命中提示暂无数据。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sz w:val="24"/>
        </w:rPr>
        <w:t>4.3 列表列（从左到右）</w:t>
      </w:r>
    </w:p>
    <w:p>
      <w:pPr>
        <w:spacing w:before="60" w:after="60" w:line="276" w:lineRule="auto"/>
      </w:pPr>
      <w:r>
        <w:rPr>
          <w:rFonts w:ascii="微软雅黑" w:hAnsi="微软雅黑" w:eastAsia="微软雅黑"/>
          <w:b w:val="0"/>
          <w:sz w:val="22"/>
        </w:rPr>
        <w:t>系统单号、客户、客户全称、柜号、提单号、柜型、拆柜服务商、提柜日期、拆柜日期、时效（天）、装柜地址、装柜混乱、柜子异常、拆柜备注。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 w:eastAsia="微软雅黑"/>
          <w:b w:val="0"/>
          <w:sz w:val="22"/>
        </w:rPr>
        <w:t>空值展示「—」；装柜混乱/柜子异常未标记按「否」。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 w:eastAsia="微软雅黑"/>
          <w:b w:val="0"/>
          <w:sz w:val="22"/>
        </w:rPr>
        <w:t>支持分页、行勾选；全选仅当前页。</w:t>
      </w:r>
    </w:p>
    <w:p>
      <w:pPr>
        <w:pStyle w:val="ListBullet"/>
        <w:spacing w:before="40" w:after="40" w:line="276" w:lineRule="auto"/>
      </w:pPr>
      <w:r>
        <w:rPr>
          <w:rFonts w:ascii="微软雅黑" w:hAnsi="微软雅黑" w:eastAsia="微软雅黑"/>
          <w:b w:val="0"/>
          <w:sz w:val="22"/>
        </w:rPr>
        <w:t>本期导出</w:t>
      </w:r>
      <w:r>
        <w:rPr>
          <w:rFonts w:ascii="微软雅黑" w:hAnsi="微软雅黑" w:eastAsia="微软雅黑"/>
          <w:b/>
          <w:sz w:val="22"/>
        </w:rPr>
        <w:t>不依赖</w:t>
      </w:r>
      <w:r>
        <w:rPr>
          <w:rFonts w:ascii="微软雅黑" w:hAnsi="微软雅黑" w:eastAsia="微软雅黑"/>
          <w:b w:val="0"/>
          <w:sz w:val="22"/>
        </w:rPr>
        <w:t>勾选。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sz w:val="24"/>
        </w:rPr>
        <w:t>4.4 导出</w:t>
      </w:r>
    </w:p>
    <w:p>
      <w:pPr>
        <w:spacing w:before="60" w:after="60" w:line="276" w:lineRule="auto"/>
      </w:pPr>
      <w:r>
        <w:rPr>
          <w:rFonts w:ascii="微软雅黑" w:hAnsi="微软雅黑" w:eastAsia="微软雅黑"/>
          <w:b w:val="0"/>
          <w:sz w:val="22"/>
        </w:rPr>
        <w:t>导出</w:t>
      </w:r>
      <w:r>
        <w:rPr>
          <w:rFonts w:ascii="微软雅黑" w:hAnsi="微软雅黑" w:eastAsia="微软雅黑"/>
          <w:b/>
          <w:sz w:val="22"/>
        </w:rPr>
        <w:t>当前筛选全部行</w:t>
      </w:r>
      <w:r>
        <w:rPr>
          <w:rFonts w:ascii="微软雅黑" w:hAnsi="微软雅黑" w:eastAsia="微软雅黑"/>
          <w:b w:val="0"/>
          <w:sz w:val="22"/>
        </w:rPr>
        <w:t>（含未展示页），列顺序与列表一致（无勾选列）。无数据不可导出。文件名建议含「拆柜时效表」，中文可正常打开。</w:t>
      </w:r>
    </w:p>
    <w:p>
      <w:pPr>
        <w:pStyle w:val="Heading1"/>
        <w:spacing w:before="280" w:after="120" w:line="276" w:lineRule="auto"/>
      </w:pPr>
      <w:r>
        <w:rPr>
          <w:rFonts w:ascii="微软雅黑" w:hAnsi="微软雅黑" w:eastAsia="微软雅黑"/>
          <w:b/>
          <w:sz w:val="28"/>
        </w:rPr>
        <w:t>5. 界面要点</w:t>
      </w:r>
    </w:p>
    <w:p>
      <w:pPr>
        <w:spacing w:before="60" w:after="60" w:line="276" w:lineRule="auto"/>
      </w:pPr>
      <w:r>
        <w:rPr>
          <w:rFonts w:ascii="微软雅黑" w:hAnsi="微软雅黑" w:eastAsia="微软雅黑"/>
          <w:b w:val="0"/>
          <w:sz w:val="22"/>
        </w:rPr>
        <w:t>以原型为准。查询区两行 8 条件；客户多选展示「全称(简称)」、服务商多选；日期 yyyy-mm-dd；工具栏导出。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场景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反馈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无结果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暂无数据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导出无数据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提示不可导出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导出成功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提示成功</w:t>
            </w:r>
          </w:p>
        </w:tc>
      </w:tr>
    </w:tbl>
    <w:p/>
    <w:p>
      <w:pPr>
        <w:pStyle w:val="Heading1"/>
        <w:spacing w:before="280" w:after="120" w:line="276" w:lineRule="auto"/>
      </w:pPr>
      <w:r>
        <w:rPr>
          <w:rFonts w:ascii="微软雅黑" w:hAnsi="微软雅黑" w:eastAsia="微软雅黑"/>
          <w:b/>
          <w:sz w:val="28"/>
        </w:rPr>
        <w:t>6. 非功能与上线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权限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员工端授权角色；导出范围与提拆派可见范围一致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依赖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提柜日期、柜型、拆柜日期、标记、备注可稳定取数</w:t>
            </w:r>
          </w:p>
        </w:tc>
      </w:tr>
      <w:tr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回填</w:t>
            </w:r>
          </w:p>
        </w:tc>
        <w:tc>
          <w:tcPr>
            <w:tcW w:type="dxa" w:w="4873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历史已拆柜且日期齐全的计划上线即可进表</w:t>
            </w:r>
          </w:p>
        </w:tc>
      </w:tr>
    </w:tbl>
    <w:p/>
    <w:p>
      <w:pPr>
        <w:pStyle w:val="Heading1"/>
        <w:spacing w:before="280" w:after="120" w:line="276" w:lineRule="auto"/>
      </w:pPr>
      <w:r>
        <w:rPr>
          <w:rFonts w:ascii="微软雅黑" w:hAnsi="微软雅黑" w:eastAsia="微软雅黑"/>
          <w:b/>
          <w:sz w:val="28"/>
        </w:rPr>
        <w:t>7. 数据统计与埋点需求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sz w:val="24"/>
        </w:rPr>
        <w:t>7.1 业务数据监控</w:t>
      </w:r>
    </w:p>
    <w:p>
      <w:pPr>
        <w:pStyle w:val="Heading2"/>
        <w:spacing w:before="200" w:after="80" w:line="276" w:lineRule="auto"/>
      </w:pPr>
      <w:r>
        <w:rPr>
          <w:rFonts w:ascii="微软雅黑" w:hAnsi="微软雅黑" w:eastAsia="微软雅黑"/>
          <w:b/>
          <w:sz w:val="24"/>
        </w:rPr>
        <w:t>7.2 埋点需求清单</w:t>
      </w:r>
    </w:p>
    <w:p>
      <w:pPr>
        <w:pStyle w:val="Heading1"/>
        <w:spacing w:before="280" w:after="120" w:line="276" w:lineRule="auto"/>
      </w:pPr>
      <w:r>
        <w:rPr>
          <w:rFonts w:ascii="微软雅黑" w:hAnsi="微软雅黑" w:eastAsia="微软雅黑"/>
          <w:b/>
          <w:sz w:val="28"/>
        </w:rPr>
        <w:t>附录 · 时效示例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提柜日期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拆柜日期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时效（天）</w:t>
            </w:r>
          </w:p>
        </w:tc>
      </w:tr>
      <w:tr>
        <w:tc>
          <w:tcPr>
            <w:tcW w:type="dxa" w:w="3249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2026-07-08</w:t>
            </w:r>
          </w:p>
        </w:tc>
        <w:tc>
          <w:tcPr>
            <w:tcW w:type="dxa" w:w="3249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2026-07-08</w:t>
            </w:r>
          </w:p>
        </w:tc>
        <w:tc>
          <w:tcPr>
            <w:tcW w:type="dxa" w:w="3249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</w:tr>
      <w:tr>
        <w:tc>
          <w:tcPr>
            <w:tcW w:type="dxa" w:w="3249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2026-07-08</w:t>
            </w:r>
          </w:p>
        </w:tc>
        <w:tc>
          <w:tcPr>
            <w:tcW w:type="dxa" w:w="3249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2026-07-09</w:t>
            </w:r>
          </w:p>
        </w:tc>
        <w:tc>
          <w:tcPr>
            <w:tcW w:type="dxa" w:w="3249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</w:tr>
      <w:tr>
        <w:tc>
          <w:tcPr>
            <w:tcW w:type="dxa" w:w="3249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2026-07-08</w:t>
            </w:r>
          </w:p>
        </w:tc>
        <w:tc>
          <w:tcPr>
            <w:tcW w:type="dxa" w:w="3249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2026-07-10</w:t>
            </w:r>
          </w:p>
        </w:tc>
        <w:tc>
          <w:tcPr>
            <w:tcW w:type="dxa" w:w="3249"/>
          </w:tcPr>
          <w:p>
            <w:pPr>
              <w:spacing w:before="40" w:after="40" w:line="240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