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扣货 — 需求说明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项目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文档类型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产品需求（扣货专项）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涉及模块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提拆派计划、拆柜报告、货件管理、各出库页、通知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关联说明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与「留仓履约」（合板增强、本地/外州分流）分案；本文只写扣货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1.1 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版本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日期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2026-08-29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初稿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 背景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客户未付款要扣货、付清要放货，现在多为一票一票操作，效率低。混装柜还需按原货物类型通知各部门。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扣货只表示</w:t>
      </w:r>
      <w:r>
        <w:rPr>
          <w:rFonts w:ascii="微软雅黑" w:hAnsi="微软雅黑" w:eastAsia="微软雅黑"/>
          <w:b/>
          <w:i w:val="0"/>
          <w:sz w:val="21"/>
        </w:rPr>
        <w:t>先不发货</w:t>
      </w:r>
      <w:r>
        <w:rPr>
          <w:rFonts w:ascii="微软雅黑" w:hAnsi="微软雅黑" w:eastAsia="微软雅黑"/>
          <w:b w:val="0"/>
          <w:i w:val="0"/>
          <w:sz w:val="21"/>
        </w:rPr>
        <w:t>；仓内提柜、拆柜、还空仍要做。货件管理以 Move Type 为准，扣货后票面须为「扣货」，列表才对齐。</w:t>
      </w:r>
    </w:p>
    <w:p>
      <w:pPr>
        <w:pStyle w:val="Heading2"/>
        <w:keepNext/>
      </w:pPr>
      <w:r>
        <w:t>2. 目标</w:t>
      </w:r>
    </w:p>
    <w:p>
      <w:r>
        <w:rPr>
          <w:rFonts w:ascii="微软雅黑" w:hAnsi="微软雅黑" w:eastAsia="微软雅黑"/>
          <w:b w:val="0"/>
          <w:i w:val="0"/>
          <w:sz w:val="21"/>
        </w:rPr>
        <w:t>1. 支持</w:t>
      </w:r>
      <w:r>
        <w:rPr>
          <w:rFonts w:ascii="微软雅黑" w:hAnsi="微软雅黑" w:eastAsia="微软雅黑"/>
          <w:b/>
          <w:i w:val="0"/>
          <w:sz w:val="21"/>
        </w:rPr>
        <w:t>整柜/批量</w:t>
      </w:r>
      <w:r>
        <w:rPr>
          <w:rFonts w:ascii="微软雅黑" w:hAnsi="微软雅黑" w:eastAsia="微软雅黑"/>
          <w:b w:val="0"/>
          <w:i w:val="0"/>
          <w:sz w:val="21"/>
        </w:rPr>
        <w:t>把 Move Type 改为扣货，以及放货恢复。</w:t>
      </w:r>
    </w:p>
    <w:p>
      <w:r>
        <w:rPr>
          <w:rFonts w:ascii="微软雅黑" w:hAnsi="微软雅黑" w:eastAsia="微软雅黑"/>
          <w:b w:val="0"/>
          <w:i w:val="0"/>
          <w:sz w:val="21"/>
        </w:rPr>
        <w:t>2. 扣货中的货</w:t>
      </w:r>
      <w:r>
        <w:rPr>
          <w:rFonts w:ascii="微软雅黑" w:hAnsi="微软雅黑" w:eastAsia="微软雅黑"/>
          <w:b/>
          <w:i w:val="0"/>
          <w:sz w:val="21"/>
        </w:rPr>
        <w:t>不能安排出库</w:t>
      </w:r>
      <w:r>
        <w:rPr>
          <w:rFonts w:ascii="微软雅黑" w:hAnsi="微软雅黑" w:eastAsia="微软雅黑"/>
          <w:b w:val="0"/>
          <w:i w:val="0"/>
          <w:sz w:val="21"/>
        </w:rPr>
        <w:t>；拆柜、还空不受阻。</w:t>
      </w:r>
    </w:p>
    <w:p>
      <w:r>
        <w:rPr>
          <w:rFonts w:ascii="微软雅黑" w:hAnsi="微软雅黑" w:eastAsia="微软雅黑"/>
          <w:b w:val="0"/>
          <w:i w:val="0"/>
          <w:sz w:val="21"/>
        </w:rPr>
        <w:t>3. 拆柜报告仍能按业务需要合板（含按 FBA Code 合并）；与「扣货后从合并组拎出」的现有逻辑兼容。</w:t>
      </w:r>
    </w:p>
    <w:p>
      <w:r>
        <w:rPr>
          <w:rFonts w:ascii="微软雅黑" w:hAnsi="微软雅黑" w:eastAsia="微软雅黑"/>
          <w:b w:val="0"/>
          <w:i w:val="0"/>
          <w:sz w:val="21"/>
        </w:rPr>
        <w:t>4. 整柜扣货/放货后，按</w:t>
      </w:r>
      <w:r>
        <w:rPr>
          <w:rFonts w:ascii="微软雅黑" w:hAnsi="微软雅黑" w:eastAsia="微软雅黑"/>
          <w:b/>
          <w:i w:val="0"/>
          <w:sz w:val="21"/>
        </w:rPr>
        <w:t>原渠道</w:t>
      </w:r>
      <w:r>
        <w:rPr>
          <w:rFonts w:ascii="微软雅黑" w:hAnsi="微软雅黑" w:eastAsia="微软雅黑"/>
          <w:b w:val="0"/>
          <w:i w:val="0"/>
          <w:sz w:val="21"/>
        </w:rPr>
        <w:t>通知对应仓库部门。</w:t>
      </w:r>
    </w:p>
    <w:p>
      <w:pPr>
        <w:pStyle w:val="Heading2"/>
        <w:keepNext/>
      </w:pPr>
      <w:r>
        <w:t>3. 场景及对应业务操作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只分两种场景，操作落点不同。</w:t>
      </w:r>
    </w:p>
    <w:p>
      <w:pPr>
        <w:pStyle w:val="Heading3"/>
        <w:keepNext/>
      </w:pPr>
      <w:r>
        <w:t>3.1 拆柜前扣货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步骤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做什么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在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编辑计划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中支持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批量修改 Move Type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为「扣货」（整柜勾选一次改完）；保留原 Move Type，放货时恢复。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建立拆柜报告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时：票面已是扣货，但仍按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原渠道 / 原 FBA Code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参与合并（扣货票也要能按 FBA Code 合并），正常拆柜、打板。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各出库入口：Move Type 为扣货的货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不可安排出库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。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整柜批量改为扣货后：按各票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原 Move Type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分组通知仓库领导及对应部门（FBA、私仓、自提、快递、留仓等）。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与现有逻辑的关系（须兼容，不要拆两套）：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今天：正常 FBA 货合并后，在报告里点「扣货」，会把该票从合并组</w:t>
      </w:r>
      <w:r>
        <w:rPr>
          <w:rFonts w:ascii="微软雅黑" w:hAnsi="微软雅黑" w:eastAsia="微软雅黑"/>
          <w:b/>
          <w:i w:val="0"/>
          <w:sz w:val="21"/>
        </w:rPr>
        <w:t>拎出来</w:t>
      </w:r>
      <w:r>
        <w:rPr>
          <w:rFonts w:ascii="微软雅黑" w:hAnsi="微软雅黑" w:eastAsia="微软雅黑"/>
          <w:b w:val="0"/>
          <w:i w:val="0"/>
          <w:sz w:val="21"/>
        </w:rPr>
        <w:t>单独成扣货。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拆柜前已是扣货、建立报告时：需要</w:t>
      </w:r>
      <w:r>
        <w:rPr>
          <w:rFonts w:ascii="微软雅黑" w:hAnsi="微软雅黑" w:eastAsia="微软雅黑"/>
          <w:b/>
          <w:i w:val="0"/>
          <w:sz w:val="21"/>
        </w:rPr>
        <w:t>按原 FBA Code 仍能合并</w:t>
      </w:r>
      <w:r>
        <w:rPr>
          <w:rFonts w:ascii="微软雅黑" w:hAnsi="微软雅黑" w:eastAsia="微软雅黑"/>
          <w:b w:val="0"/>
          <w:i w:val="0"/>
          <w:sz w:val="21"/>
        </w:rPr>
        <w:t>（与上一条方向相反，但是两个时机）。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实现时按时机区分即可：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报告建立时</w:t>
      </w:r>
      <w:r>
        <w:rPr>
          <w:rFonts w:ascii="微软雅黑" w:hAnsi="微软雅黑" w:eastAsia="微软雅黑"/>
          <w:b w:val="0"/>
          <w:i w:val="0"/>
          <w:sz w:val="21"/>
        </w:rPr>
        <w:t>：已扣货票 → 仍按原渠道/FBA Code 合并；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报告内再点扣货</w:t>
      </w:r>
      <w:r>
        <w:rPr>
          <w:rFonts w:ascii="微软雅黑" w:hAnsi="微软雅黑" w:eastAsia="微软雅黑"/>
          <w:b w:val="0"/>
          <w:i w:val="0"/>
          <w:sz w:val="21"/>
        </w:rPr>
        <w:t>：从当前合并组拎出（保持现逻辑）。</w:t>
      </w:r>
    </w:p>
    <w:p>
      <w:pPr>
        <w:pStyle w:val="Heading3"/>
        <w:keepNext/>
      </w:pPr>
      <w:r>
        <w:t>3.2 拆柜后扣货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步骤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做什么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在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修改拆柜报告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里对该票扣货 / 取消扣货（沿用现能力：改 Move Type、保留原类型、从合并组拎出等）。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在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各自出库页面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也可扣货 / 放货，写入同一套 Move Type 状态，并拦住安排出库。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拆柜后不再走「编辑计划批量改类型」为主路径；以报告修改 + 出库页精细扣为主。</w:t>
      </w:r>
    </w:p>
    <w:p>
      <w:pPr>
        <w:pStyle w:val="Heading2"/>
        <w:keepNext/>
      </w:pPr>
      <w:r>
        <w:t>4. 几条硬规则（不分场景）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Move Type = 扣货</w:t>
      </w:r>
      <w:r>
        <w:rPr>
          <w:rFonts w:ascii="微软雅黑" w:hAnsi="微软雅黑" w:eastAsia="微软雅黑"/>
          <w:b w:val="0"/>
          <w:i w:val="0"/>
          <w:sz w:val="21"/>
        </w:rPr>
        <w:t xml:space="preserve"> 表示扣货中；货件管理、扣货 Tab 以此为准。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放货</w:t>
      </w:r>
      <w:r>
        <w:rPr>
          <w:rFonts w:ascii="微软雅黑" w:hAnsi="微软雅黑" w:eastAsia="微软雅黑"/>
          <w:b w:val="0"/>
          <w:i w:val="0"/>
          <w:sz w:val="21"/>
        </w:rPr>
        <w:t xml:space="preserve"> = 恢复为扣货前保存的原 Move Type。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发货一律拦截</w:t>
      </w:r>
      <w:r>
        <w:rPr>
          <w:rFonts w:ascii="微软雅黑" w:hAnsi="微软雅黑" w:eastAsia="微软雅黑"/>
          <w:b w:val="0"/>
          <w:i w:val="0"/>
          <w:sz w:val="21"/>
        </w:rPr>
        <w:t>（安排出库 / 派送 / 装车）；提柜、拆柜、还空不拦截。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sz w:val="21"/>
        </w:rPr>
        <w:t>查验扣货</w:t>
      </w:r>
      <w:r>
        <w:rPr>
          <w:rFonts w:ascii="微软雅黑" w:hAnsi="微软雅黑" w:eastAsia="微软雅黑"/>
          <w:b w:val="0"/>
          <w:i w:val="0"/>
          <w:sz w:val="21"/>
        </w:rPr>
        <w:t>（重点标记）与未付款扣货分开，不混用。</w:t>
      </w:r>
    </w:p>
    <w:p>
      <w:pPr>
        <w:pStyle w:val="Heading2"/>
        <w:keepNext/>
      </w:pPr>
      <w:r>
        <w:t>5. 主要改动点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位置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改动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编辑计划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新增：批量将 Move Type 改为扣货 / 批量放货恢复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建立拆柜报告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已扣货票按原渠道、原 FBA Code 仍可合并；可标明暂缓发货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修改拆柜报告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保持单票扣货/取消扣货（含从合并组拎出）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各出库页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扣货真改 Move Type；安排出库前拦截扣货票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通知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批量扣货/放货后按原渠道通知各部门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 验收要点</w:t>
      </w:r>
    </w:p>
    <w:p>
      <w:r>
        <w:rPr>
          <w:rFonts w:ascii="微软雅黑" w:hAnsi="微软雅黑" w:eastAsia="微软雅黑"/>
          <w:b w:val="0"/>
          <w:i w:val="0"/>
          <w:sz w:val="21"/>
        </w:rPr>
        <w:t>1. 拆柜前：编辑计划批量改扣货后，货件管理显示扣货；能建拆柜报告且按原 FBA Code/原渠道合并；不能出库。</w:t>
      </w:r>
    </w:p>
    <w:p>
      <w:r>
        <w:rPr>
          <w:rFonts w:ascii="微软雅黑" w:hAnsi="微软雅黑" w:eastAsia="微软雅黑"/>
          <w:b w:val="0"/>
          <w:i w:val="0"/>
          <w:sz w:val="21"/>
        </w:rPr>
        <w:t>2. 报告内对已合并 FBA 再点扣货：该票从合并组拎出（现逻辑仍在）。</w:t>
      </w:r>
    </w:p>
    <w:p>
      <w:r>
        <w:rPr>
          <w:rFonts w:ascii="微软雅黑" w:hAnsi="微软雅黑" w:eastAsia="微软雅黑"/>
          <w:b w:val="0"/>
          <w:i w:val="0"/>
          <w:sz w:val="21"/>
        </w:rPr>
        <w:t>3. 拆柜后：改报告或出库页扣货后不能出库；放货后恢复原类型且可出库。</w:t>
      </w:r>
    </w:p>
    <w:p>
      <w:r>
        <w:rPr>
          <w:rFonts w:ascii="微软雅黑" w:hAnsi="微软雅黑" w:eastAsia="微软雅黑"/>
          <w:b w:val="0"/>
          <w:i w:val="0"/>
          <w:sz w:val="21"/>
        </w:rPr>
        <w:t>4. 批量扣货/放货有按原渠道的部门通知。</w:t>
      </w:r>
    </w:p>
    <w:p>
      <w:pPr>
        <w:pStyle w:val="Heading2"/>
        <w:keepNext/>
      </w:pPr>
      <w:r>
        <w:t>7. 本期不做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留仓合板增强、本地/外州出库分流（另案）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未付款扣货复用成「查验扣货」重点标记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pageBreakBefore w:val="0"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20" w:after="4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80" w:after="4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