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FBA发货计划与派送管理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FBA 发货计划与派送执行的一体化业务规则，覆盖从计划创建到签收完结的全流程，并约束备货调整、补录、退仓等异常场景处理方式。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2026-05-28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 出库业务的计划主体，承接货件、备货与装车安排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仓库执行与发车承载单据；状态链路为待装车 → 已装车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已发车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（已发车为装车单终态）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BOL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装车执行与派送跟踪的业务单据；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运输中、已签收、已退仓、已作废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等均在 BOL 层维护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安排备货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将计划单与装车单建立关联并确认备货范围，完成后计划单进入待装车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POD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签收凭证，按 BOL 维度上传与留存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备货加货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出库备货时增加货物：新增 BOL 并自动生成对应新计划单，BOL 打「加货」标识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备货减货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按柜号 + FBA Code 减少备货：原 BOL 作废，对应货物从计划单剔除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货件补录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在途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按柜号 + FBA Code 补录遗漏货件，纳入当前装车单/BOL 派送流程（非备货加货）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单项退仓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员工端按 BOL 下达指令，仓库 PDA 执行；目标 BOL → 已退仓，货件回归在库（真实库位走「入库上架」）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整车退仓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员工端按装车单下达指令，仓库 PDA 执行；登记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退仓虚拟库位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（仅留痕）；装车单及该单下全部 BOL → 已装车；不执行在库恢复、入库上架、计划单取消或装车单作废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退仓虚拟库位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整车退仓时登记的留痕库位，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真实上架库位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当前业务在计划、装车、发车、在途与签收环节存在跨角色、跨端协同，若规则不统一，容易出现状态不一致、异常处置口径不一致、追溯困难等问题。需要通过统一流程与</w:t>
      </w:r>
      <w:r>
        <w:rPr>
          <w:rFonts w:ascii="微软雅黑" w:hAnsi="微软雅黑" w:eastAsia="微软雅黑"/>
          <w:b/>
          <w:i w:val="0"/>
          <w:sz w:val="21"/>
        </w:rPr>
        <w:t>分层状态机</w:t>
      </w:r>
      <w:r>
        <w:rPr>
          <w:rFonts w:ascii="微软雅黑" w:hAnsi="微软雅黑" w:eastAsia="微软雅黑"/>
          <w:b w:val="0"/>
          <w:i w:val="0"/>
          <w:sz w:val="21"/>
        </w:rPr>
        <w:t>（计划单 / 装车单 / BOL / 货件），保证链路闭环。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调度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发车核对、在途异常指令、签收与 BOL 状态跟进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仓库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出库备货、装车、发车（PDA）、退仓与补录执行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客服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过程可视、异常跟进与客户同步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权限配置、关键操作审计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目标说明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定性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建立「先计划、后装车、再 BOL 派送签收」的统一链路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定量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关键节点有状态与日志留痕，支持全链路追溯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本期不包含：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计费规则与报价引擎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报表统计口径输出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验收标准与测试用例编写</w:t>
      </w:r>
    </w:p>
    <w:p>
      <w:pPr>
        <w:pStyle w:val="Heading3"/>
        <w:keepNext/>
      </w:pPr>
      <w:r>
        <w:t>2.4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FBA发货计划-计划单管理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计划创建、安排备货、计划与装车单关联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FBA发货计划-装车单管理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装车、发车确认；装车单状态止于已发车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FBA派送管理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 BOL 维度的在途、签收、POD 与异常指令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货件状态随 BOL/退仓/上架联动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PDA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备货、装车、发车、补录、退仓现场执行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读取签收与退仓结果用于核对（本期不计费）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7601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60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先计划单，后装车单；装车单至已发车为止；运输中与签收在 BOL 层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创建计划单 → 待安排备货 → 安排备货关联装车单 → 待装车。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PDA 出库备货（可选：加货 / 减货）→ 仓库装车完成 → 装车单已装车。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发车：仓库（PDA）或员工端，</w:t>
      </w:r>
      <w:r>
        <w:rPr>
          <w:rFonts w:ascii="微软雅黑" w:hAnsi="微软雅黑" w:eastAsia="微软雅黑"/>
          <w:b/>
          <w:i w:val="0"/>
          <w:sz w:val="21"/>
        </w:rPr>
        <w:t>有菜单权限任一端</w:t>
      </w:r>
      <w:r>
        <w:rPr>
          <w:rFonts w:ascii="微软雅黑" w:hAnsi="微软雅黑" w:eastAsia="微软雅黑"/>
          <w:b w:val="0"/>
          <w:i w:val="0"/>
          <w:sz w:val="21"/>
        </w:rPr>
        <w:t>可确认 → 装车单</w:t>
      </w:r>
      <w:r>
        <w:rPr>
          <w:rFonts w:ascii="微软雅黑" w:hAnsi="微软雅黑" w:eastAsia="微软雅黑"/>
          <w:b/>
          <w:i w:val="0"/>
          <w:sz w:val="21"/>
        </w:rPr>
        <w:t>已发车</w:t>
      </w:r>
      <w:r>
        <w:rPr>
          <w:rFonts w:ascii="微软雅黑" w:hAnsi="微软雅黑" w:eastAsia="微软雅黑"/>
          <w:b w:val="0"/>
          <w:i w:val="0"/>
          <w:sz w:val="21"/>
        </w:rPr>
        <w:t>（装车单状态终止）。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>4. 各 BOL 进入</w:t>
      </w:r>
      <w:r>
        <w:rPr>
          <w:rFonts w:ascii="微软雅黑" w:hAnsi="微软雅黑" w:eastAsia="微软雅黑"/>
          <w:b/>
          <w:i w:val="0"/>
          <w:sz w:val="21"/>
        </w:rPr>
        <w:t>运输中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上传 POD → </w:t>
      </w:r>
      <w:r>
        <w:rPr>
          <w:rFonts w:ascii="微软雅黑" w:hAnsi="微软雅黑" w:eastAsia="微软雅黑"/>
          <w:b/>
          <w:i w:val="0"/>
          <w:sz w:val="21"/>
        </w:rPr>
        <w:t>已签收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>5. 在途可按规则执行货件补录、单项退仓、整车退仓（规则见 §3.2、§4.3）。</w:t>
      </w:r>
    </w:p>
    <w:p>
      <w:pPr>
        <w:pStyle w:val="Heading3"/>
        <w:keepNext/>
      </w:pPr>
      <w:r>
        <w:t>3.2 状态归属（核心）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业务对象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主要状态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待安排备货、待装车、已取消等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减货剔光后默认回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待安排备货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并解除装车单关联；人工可标已取消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待装车 → 已装车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已发车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运输中/已签收；部分 BOL 已退仓时装车单仍为已发车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BOL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已装车、运输中、已签收、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已退仓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已作废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派送、POD、在途异常均在 BOL 层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在库、运输中等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单项退仓后在库；真实库位通过「入库上架」维护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动作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装车单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BOL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备货减货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已作废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从计划单剔除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备货加货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 BOL（加货标识）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纳入新计划单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发车（任一端有权限）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已发车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运输中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POD / 签收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不变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已签收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随 BOL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单项退仓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仍已发车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目标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已退仓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在库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（上架另流程）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整车退仓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已装车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该单全部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已装车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自动在库恢复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在途货件补录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仍已发车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纳入当前 BOL 流程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纳入派送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列表与作业口径：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待发车、拣货、POD 等作业列表默认只展示</w:t>
      </w:r>
      <w:r>
        <w:rPr>
          <w:rFonts w:ascii="微软雅黑" w:hAnsi="微软雅黑" w:eastAsia="微软雅黑"/>
          <w:b/>
          <w:i w:val="0"/>
          <w:sz w:val="21"/>
        </w:rPr>
        <w:t>有效 BOL</w:t>
      </w:r>
      <w:r>
        <w:rPr>
          <w:rFonts w:ascii="微软雅黑" w:hAnsi="微软雅黑" w:eastAsia="微软雅黑"/>
          <w:b w:val="0"/>
          <w:i w:val="0"/>
          <w:sz w:val="21"/>
        </w:rPr>
        <w:t>（排除已退仓、已作废）；详情可查看历史 BOL。重新排货须使用</w:t>
      </w:r>
      <w:r>
        <w:rPr>
          <w:rFonts w:ascii="微软雅黑" w:hAnsi="微软雅黑" w:eastAsia="微软雅黑"/>
          <w:b/>
          <w:i w:val="0"/>
          <w:sz w:val="21"/>
        </w:rPr>
        <w:t>新 BOL 号</w:t>
      </w:r>
      <w:r>
        <w:rPr>
          <w:rFonts w:ascii="微软雅黑" w:hAnsi="微软雅黑" w:eastAsia="微软雅黑"/>
          <w:b w:val="0"/>
          <w:i w:val="0"/>
          <w:sz w:val="21"/>
        </w:rPr>
        <w:t>，不得复用已退仓/已作废 BOL。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产品方案概述</w:t>
      </w:r>
    </w:p>
    <w:p>
      <w:r>
        <w:rPr>
          <w:rFonts w:ascii="微软雅黑" w:hAnsi="微软雅黑" w:eastAsia="微软雅黑"/>
          <w:b w:val="0"/>
          <w:i w:val="0"/>
          <w:sz w:val="21"/>
        </w:rPr>
        <w:t>1. 以计划单为起点，装车单承载装车与发车，BOL 承载在途与签收。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备货阶段处理加货/减货；在途阶段处理补录/退仓，二者不可混用。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员工端下发异常指令，PDA 执行；关键状态分层回写并留痕。</w:t>
      </w:r>
    </w:p>
    <w:p>
      <w:pPr>
        <w:pStyle w:val="Heading3"/>
        <w:keepNext/>
      </w:pPr>
      <w:r>
        <w:t>4.2 核心功能一览</w:t>
      </w:r>
    </w:p>
    <w:p>
      <w:pPr>
        <w:pStyle w:val="Heading4"/>
      </w:pPr>
      <w:r>
        <w:t>4.2.1 四大核心能力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核心能力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解决什么问题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关键功能点（P0）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计划先行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先有计划再执行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创建计划、安排备货、关联装车单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装车发车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装车单状态闭环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已装车、已发车；任一端有权限可发车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BOL 派送签收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在途与凭证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BOL 运输中、POD、已签收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异常可控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备货与在途异常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加货/减货、补录、单项/整车退仓</w:t>
            </w:r>
          </w:p>
        </w:tc>
      </w:tr>
    </w:tbl>
    <w:p>
      <w:pPr>
        <w:spacing w:after="40"/>
      </w:pPr>
    </w:p>
    <w:p>
      <w:pPr>
        <w:pStyle w:val="Heading4"/>
      </w:pPr>
      <w:r>
        <w:t>4.2.2 核心功能点索引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核心功能点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说明摘要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详述章节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计划单与备货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计划、加货、减货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4.3.1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装车与发车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装车单至已发车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签收与 POD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 BOL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4.3.3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在途异常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补录、退仓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4.3.4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跨端协同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员工端 / PDA / 财务读取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4.3.5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4.3 具体功能详述</w:t>
      </w:r>
    </w:p>
    <w:p>
      <w:pPr>
        <w:pStyle w:val="Heading4"/>
      </w:pPr>
      <w:r>
        <w:t>4.3.1 【计划单】创建、备货与加减货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创建计划并安排至装车前；PDA 出库备货时调整实装范围。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具备计划或备货相关权限。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创建计划单，状态为待安排备货。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选择装车单完成安排备货，计划单进入待装车。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PDA 出库备货；按需执行加货或减货后，仓库确认装车完成。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仅待安排备货可安排备货；须关联有效装车单。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加货：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新增 BOL，自动生成新计划单，BOL 打「加货」标识，保留来源追溯。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减货：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按</w:t>
      </w:r>
      <w:r>
        <w:rPr>
          <w:rFonts w:ascii="微软雅黑" w:hAnsi="微软雅黑" w:eastAsia="微软雅黑"/>
          <w:b/>
          <w:i w:val="0"/>
          <w:sz w:val="21"/>
        </w:rPr>
        <w:t>柜号 + 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；原 BOL </w:t>
      </w:r>
      <w:r>
        <w:rPr>
          <w:rFonts w:ascii="微软雅黑" w:hAnsi="微软雅黑" w:eastAsia="微软雅黑"/>
          <w:b/>
          <w:i w:val="0"/>
          <w:sz w:val="21"/>
        </w:rPr>
        <w:t>作废</w:t>
      </w:r>
      <w:r>
        <w:rPr>
          <w:rFonts w:ascii="微软雅黑" w:hAnsi="微软雅黑" w:eastAsia="微软雅黑"/>
          <w:b w:val="0"/>
          <w:i w:val="0"/>
          <w:sz w:val="21"/>
        </w:rPr>
        <w:t>；对应货物从计划单</w:t>
      </w:r>
      <w:r>
        <w:rPr>
          <w:rFonts w:ascii="微软雅黑" w:hAnsi="微软雅黑" w:eastAsia="微软雅黑"/>
          <w:b/>
          <w:i w:val="0"/>
          <w:sz w:val="21"/>
        </w:rPr>
        <w:t>剔除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减货后计划单无货：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计划单自动变为</w:t>
      </w:r>
      <w:r>
        <w:rPr>
          <w:rFonts w:ascii="微软雅黑" w:hAnsi="微软雅黑" w:eastAsia="微软雅黑"/>
          <w:b/>
          <w:i w:val="0"/>
          <w:sz w:val="21"/>
        </w:rPr>
        <w:t>待安排备货</w:t>
      </w:r>
      <w:r>
        <w:rPr>
          <w:rFonts w:ascii="微软雅黑" w:hAnsi="微软雅黑" w:eastAsia="微软雅黑"/>
          <w:b w:val="0"/>
          <w:i w:val="0"/>
          <w:sz w:val="21"/>
        </w:rPr>
        <w:t>，并</w:t>
      </w:r>
      <w:r>
        <w:rPr>
          <w:rFonts w:ascii="微软雅黑" w:hAnsi="微软雅黑" w:eastAsia="微软雅黑"/>
          <w:b/>
          <w:i w:val="0"/>
          <w:sz w:val="21"/>
        </w:rPr>
        <w:t>解除与当前装车单关联</w:t>
      </w:r>
      <w:r>
        <w:rPr>
          <w:rFonts w:ascii="微软雅黑" w:hAnsi="微软雅黑" w:eastAsia="微软雅黑"/>
          <w:b w:val="0"/>
          <w:i w:val="0"/>
          <w:sz w:val="21"/>
        </w:rPr>
        <w:t>；员工端可人工将计划标为</w:t>
      </w:r>
      <w:r>
        <w:rPr>
          <w:rFonts w:ascii="微软雅黑" w:hAnsi="微软雅黑" w:eastAsia="微软雅黑"/>
          <w:b/>
          <w:i w:val="0"/>
          <w:sz w:val="21"/>
        </w:rPr>
        <w:t>已取消</w:t>
      </w:r>
      <w:r>
        <w:rPr>
          <w:rFonts w:ascii="微软雅黑" w:hAnsi="微软雅黑" w:eastAsia="微软雅黑"/>
          <w:b w:val="0"/>
          <w:i w:val="0"/>
          <w:sz w:val="21"/>
        </w:rPr>
        <w:t>（须填原因）。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减货后计划单仍有其他 BOL/货件：计划单保持</w:t>
      </w:r>
      <w:r>
        <w:rPr>
          <w:rFonts w:ascii="微软雅黑" w:hAnsi="微软雅黑" w:eastAsia="微软雅黑"/>
          <w:b/>
          <w:i w:val="0"/>
          <w:sz w:val="21"/>
        </w:rPr>
        <w:t>待装车</w:t>
      </w:r>
      <w:r>
        <w:rPr>
          <w:rFonts w:ascii="微软雅黑" w:hAnsi="微软雅黑" w:eastAsia="微软雅黑"/>
          <w:b w:val="0"/>
          <w:i w:val="0"/>
          <w:sz w:val="21"/>
        </w:rPr>
        <w:t>，仅作废对应 BOL。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未选装车单、状态不符时阻断；减货范围为空时阻断。</w:t>
      </w:r>
    </w:p>
    <w:p>
      <w:pPr>
        <w:pStyle w:val="Heading4"/>
      </w:pPr>
      <w:r>
        <w:t>4.3.2 【装车单】装车与发车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仓库完成装车；发车确认。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计划单已待装车且已关联装车单。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仓库确认装车完成，装车单 → </w:t>
      </w:r>
      <w:r>
        <w:rPr>
          <w:rFonts w:ascii="微软雅黑" w:hAnsi="微软雅黑" w:eastAsia="微软雅黑"/>
          <w:b/>
          <w:i w:val="0"/>
          <w:sz w:val="21"/>
        </w:rPr>
        <w:t>已装车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发车确认：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仓库（PDA）或员工端（调度等），</w:t>
      </w:r>
      <w:r>
        <w:rPr>
          <w:rFonts w:ascii="微软雅黑" w:hAnsi="微软雅黑" w:eastAsia="微软雅黑"/>
          <w:b/>
          <w:i w:val="0"/>
          <w:sz w:val="21"/>
        </w:rPr>
        <w:t>具备对应菜单权限的任一端</w:t>
      </w:r>
      <w:r>
        <w:rPr>
          <w:rFonts w:ascii="微软雅黑" w:hAnsi="微软雅黑" w:eastAsia="微软雅黑"/>
          <w:b w:val="0"/>
          <w:i w:val="0"/>
          <w:sz w:val="21"/>
        </w:rPr>
        <w:t>均可提交；另一端若已完成则只读或提示已完成。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装车单 → </w:t>
      </w:r>
      <w:r>
        <w:rPr>
          <w:rFonts w:ascii="微软雅黑" w:hAnsi="微软雅黑" w:eastAsia="微软雅黑"/>
          <w:b/>
          <w:i w:val="0"/>
          <w:sz w:val="21"/>
        </w:rPr>
        <w:t>已发车</w:t>
      </w:r>
      <w:r>
        <w:rPr>
          <w:rFonts w:ascii="微软雅黑" w:hAnsi="微软雅黑" w:eastAsia="微软雅黑"/>
          <w:b w:val="0"/>
          <w:i w:val="0"/>
          <w:sz w:val="21"/>
        </w:rPr>
        <w:t xml:space="preserve">；关联 BOL → </w:t>
      </w:r>
      <w:r>
        <w:rPr>
          <w:rFonts w:ascii="微软雅黑" w:hAnsi="微软雅黑" w:eastAsia="微软雅黑"/>
          <w:b/>
          <w:i w:val="0"/>
          <w:sz w:val="21"/>
        </w:rPr>
        <w:t>运输中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仅</w:t>
      </w:r>
      <w:r>
        <w:rPr>
          <w:rFonts w:ascii="微软雅黑" w:hAnsi="微软雅黑" w:eastAsia="微软雅黑"/>
          <w:b/>
          <w:i w:val="0"/>
          <w:sz w:val="21"/>
        </w:rPr>
        <w:t>已装车</w:t>
      </w:r>
      <w:r>
        <w:rPr>
          <w:rFonts w:ascii="微软雅黑" w:hAnsi="微软雅黑" w:eastAsia="微软雅黑"/>
          <w:b w:val="0"/>
          <w:i w:val="0"/>
          <w:sz w:val="21"/>
        </w:rPr>
        <w:t>可发车。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发车必填项（如发车时间、发车类型等）以原型/装车单管理为准；备货仓与装车单绑定后不可改。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装车单状态</w:t>
      </w:r>
      <w:r>
        <w:rPr>
          <w:rFonts w:ascii="微软雅黑" w:hAnsi="微软雅黑" w:eastAsia="微软雅黑"/>
          <w:b/>
          <w:i w:val="0"/>
          <w:sz w:val="21"/>
        </w:rPr>
        <w:t>止于已发车</w:t>
      </w:r>
      <w:r>
        <w:rPr>
          <w:rFonts w:ascii="微软雅黑" w:hAnsi="微软雅黑" w:eastAsia="微软雅黑"/>
          <w:b w:val="0"/>
          <w:i w:val="0"/>
          <w:sz w:val="21"/>
        </w:rPr>
        <w:t>，后续运输中/已签收</w:t>
      </w:r>
      <w:r>
        <w:rPr>
          <w:rFonts w:ascii="微软雅黑" w:hAnsi="微软雅黑" w:eastAsia="微软雅黑"/>
          <w:b/>
          <w:i w:val="0"/>
          <w:sz w:val="21"/>
        </w:rPr>
        <w:t>不</w:t>
      </w:r>
      <w:r>
        <w:rPr>
          <w:rFonts w:ascii="微软雅黑" w:hAnsi="微软雅黑" w:eastAsia="微软雅黑"/>
          <w:b w:val="0"/>
          <w:i w:val="0"/>
          <w:sz w:val="21"/>
        </w:rPr>
        <w:t>再变更装车单状态。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必填缺失、状态非法时阻断；重复发车须提示并记日志。</w:t>
      </w:r>
    </w:p>
    <w:p>
      <w:pPr>
        <w:pStyle w:val="Heading4"/>
      </w:pPr>
      <w:r>
        <w:t>4.3.3 【BOL】签收与 POD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BOL 运输中上传签收凭证。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目标 BOL 为</w:t>
      </w:r>
      <w:r>
        <w:rPr>
          <w:rFonts w:ascii="微软雅黑" w:hAnsi="微软雅黑" w:eastAsia="微软雅黑"/>
          <w:b/>
          <w:i w:val="0"/>
          <w:sz w:val="21"/>
        </w:rPr>
        <w:t>运输中</w:t>
      </w:r>
      <w:r>
        <w:rPr>
          <w:rFonts w:ascii="微软雅黑" w:hAnsi="微软雅黑" w:eastAsia="微软雅黑"/>
          <w:b w:val="0"/>
          <w:i w:val="0"/>
          <w:sz w:val="21"/>
        </w:rPr>
        <w:t>（装车单已为已发车）。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在 FBA 派送管理（按 BOL/装车单维度）选择运输中记录。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填写签收时间并上传 POD。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目标 BOL → </w:t>
      </w:r>
      <w:r>
        <w:rPr>
          <w:rFonts w:ascii="微软雅黑" w:hAnsi="微软雅黑" w:eastAsia="微软雅黑"/>
          <w:b/>
          <w:i w:val="0"/>
          <w:sz w:val="21"/>
        </w:rPr>
        <w:t>已签收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运输中可上传 POD；已签收可修改 POD（规则以原型为准）。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已退仓、已作废</w:t>
      </w:r>
      <w:r>
        <w:rPr>
          <w:rFonts w:ascii="微软雅黑" w:hAnsi="微软雅黑" w:eastAsia="微软雅黑"/>
          <w:b w:val="0"/>
          <w:i w:val="0"/>
          <w:sz w:val="21"/>
        </w:rPr>
        <w:t>等终态 BOL 不可上传 POD。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签收与 POD 绑定 </w:t>
      </w:r>
      <w:r>
        <w:rPr>
          <w:rFonts w:ascii="微软雅黑" w:hAnsi="微软雅黑" w:eastAsia="微软雅黑"/>
          <w:b/>
          <w:i w:val="0"/>
          <w:sz w:val="21"/>
        </w:rPr>
        <w:t>BOL</w:t>
      </w:r>
      <w:r>
        <w:rPr>
          <w:rFonts w:ascii="微软雅黑" w:hAnsi="微软雅黑" w:eastAsia="微软雅黑"/>
          <w:b w:val="0"/>
          <w:i w:val="0"/>
          <w:sz w:val="21"/>
        </w:rPr>
        <w:t>，不提升装车单状态。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缺附件/签收时间、状态不符时阻断。</w:t>
      </w:r>
    </w:p>
    <w:p>
      <w:pPr>
        <w:pStyle w:val="Heading4"/>
      </w:pPr>
      <w:r>
        <w:t>4.3.4 【在途】补录与退仓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使用场景：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运输中遗漏、退仓等异常。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前置条件：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装车单已发车；目标 BOL 为运输中（补录/单项退仓）或符合整车退仓条件。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操作流程：</w:t>
      </w:r>
    </w:p>
    <w:p>
      <w:r>
        <w:rPr>
          <w:rFonts w:ascii="微软雅黑" w:hAnsi="微软雅黑" w:eastAsia="微软雅黑"/>
          <w:b w:val="0"/>
          <w:i w:val="0"/>
          <w:sz w:val="21"/>
        </w:rPr>
        <w:t>1. 员工端下发指令（补录 / 单项退仓 / 整车退仓）并填写原因与对象。</w:t>
      </w:r>
    </w:p>
    <w:p>
      <w:r>
        <w:rPr>
          <w:rFonts w:ascii="微软雅黑" w:hAnsi="微软雅黑" w:eastAsia="微软雅黑"/>
          <w:b w:val="0"/>
          <w:i w:val="0"/>
          <w:sz w:val="21"/>
        </w:rPr>
        <w:t>2. PDA 接收并现场执行，回传结果。</w:t>
      </w:r>
    </w:p>
    <w:p>
      <w:r>
        <w:rPr>
          <w:rFonts w:ascii="微软雅黑" w:hAnsi="微软雅黑" w:eastAsia="微软雅黑"/>
          <w:b w:val="0"/>
          <w:i w:val="0"/>
          <w:sz w:val="21"/>
        </w:rPr>
        <w:t>3. 系统按类型更新 BOL/货件/装车单状态并写日志。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业务规则（核心）：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类型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指令端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执行端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货件补录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员工端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PDA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按柜号+FBA Code 纳入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当前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装车单/BOL 流程；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备货加货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单项退仓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员工端（按 BOL）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PDA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目标 BOL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已退仓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；货件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在库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（真实库位走「入库上架」）；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解除计划单关联、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自动将计划单改为待安排备货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整车退仓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员工端（按装车单）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PDA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登记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退仓虚拟库位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；装车单 + 该单下全部 BOL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已装车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在库恢复、不上架、不取消计划、不作废装车单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重新排货（单项退仓后）：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须生成</w:t>
      </w:r>
      <w:r>
        <w:rPr>
          <w:rFonts w:ascii="微软雅黑" w:hAnsi="微软雅黑" w:eastAsia="微软雅黑"/>
          <w:b/>
          <w:i w:val="0"/>
          <w:sz w:val="21"/>
        </w:rPr>
        <w:t>新 BOL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员工端</w:t>
      </w:r>
      <w:r>
        <w:rPr>
          <w:rFonts w:ascii="微软雅黑" w:hAnsi="微软雅黑" w:eastAsia="微软雅黑"/>
          <w:b w:val="0"/>
          <w:i w:val="0"/>
          <w:sz w:val="21"/>
        </w:rPr>
        <w:t>将新 BOL 绑定至原计划单（新增 BOL 行）或新建计划单；</w:t>
      </w:r>
      <w:r>
        <w:rPr>
          <w:rFonts w:ascii="微软雅黑" w:hAnsi="微软雅黑" w:eastAsia="微软雅黑"/>
          <w:b/>
          <w:i w:val="0"/>
          <w:sz w:val="21"/>
        </w:rPr>
        <w:t>PDA 不选择计划单</w:t>
      </w:r>
      <w:r>
        <w:rPr>
          <w:rFonts w:ascii="微软雅黑" w:hAnsi="微软雅黑" w:eastAsia="微软雅黑"/>
          <w:b w:val="0"/>
          <w:i w:val="0"/>
          <w:sz w:val="21"/>
        </w:rPr>
        <w:t>，仅执行出库/关联装车单或进入待关联队列。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列表过滤：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作业列表默认不展示已退仓/已作废 BOL；历史 BOL 在详情/日志中可查。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异常处理：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未选对象、未填原因、重复退仓时阻断；整车退仓须二次确认。</w:t>
      </w:r>
    </w:p>
    <w:p>
      <w:pPr>
        <w:pStyle w:val="Heading4"/>
      </w:pPr>
      <w:r>
        <w:t>4.3.5 【跨端协同】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员工端：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计划与装车单管理、异常指令下发、发车确认（有权限时）、重新排货时 BOL 与计划单绑定。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PDA：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出库备货（加货/减货）、装车、发车、补录、退仓执行；整车退仓登记虚拟库位。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财务：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读取签收与退仓结果；已退仓/已作废 BOL 是否进入结算由后续计费模块定义（本期不计费）。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一致性：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以分层状态为准；延迟回传按时间顺序校正；关键操作记操作人、端类型、时间。</w:t>
      </w:r>
    </w:p>
    <w:p>
      <w:pPr>
        <w:pStyle w:val="Heading2"/>
        <w:keepNext/>
      </w:pPr>
      <w:r>
        <w:t>5. 界面与交互需求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界面以现有原型为准；本节仅列与业务相关的要点。</w:t>
      </w:r>
    </w:p>
    <w:p>
      <w:pPr>
        <w:pStyle w:val="Heading3"/>
        <w:keepNext/>
      </w:pPr>
      <w:r>
        <w:t>5.1 页面布局规范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计划单管理、装车单管理、FBA 派送管理分阶段展示。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FBA 派送管理列表 Tab（运输中/已签收等）语义为 </w:t>
      </w:r>
      <w:r>
        <w:rPr>
          <w:rFonts w:ascii="微软雅黑" w:hAnsi="微软雅黑" w:eastAsia="微软雅黑"/>
          <w:b/>
          <w:i w:val="0"/>
          <w:sz w:val="21"/>
        </w:rPr>
        <w:t>BOL 层</w:t>
      </w:r>
      <w:r>
        <w:rPr>
          <w:rFonts w:ascii="微软雅黑" w:hAnsi="微软雅黑" w:eastAsia="微软雅黑"/>
          <w:b w:val="0"/>
          <w:i w:val="0"/>
          <w:sz w:val="21"/>
        </w:rPr>
        <w:t>，非装车单运输中。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详情区分当前有效 BOL 与历史 BOL（已退仓/已作废）。</w:t>
      </w:r>
    </w:p>
    <w:p>
      <w:pPr>
        <w:pStyle w:val="Heading3"/>
        <w:keepNext/>
      </w:pPr>
      <w:r>
        <w:t>5.2 交互反馈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交互要求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未选择单据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阻断并提示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状态不允许的操作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提示当前 BOL/装车单状态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退仓类操作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二次确认及影响说明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发车已完成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另一端提示已完成，避免重复提交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5.3 功能界面截图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本期以现有原型为准，截图按需补充。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业务规则以 §3.2、§4.3 为准。</w:t>
      </w:r>
    </w:p>
    <w:p>
      <w:pPr>
        <w:pStyle w:val="Heading2"/>
        <w:keepNext/>
      </w:pPr>
      <w:r>
        <w:t>6. 非功能性需求</w:t>
      </w:r>
    </w:p>
    <w:p>
      <w:pPr>
        <w:pStyle w:val="Heading3"/>
        <w:keepNext/>
      </w:pPr>
      <w:r>
        <w:t>6.1 性能需求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常规查询与状态变更满足日常作业时效。</w:t>
      </w:r>
    </w:p>
    <w:p>
      <w:pPr>
        <w:pStyle w:val="Heading3"/>
        <w:keepNext/>
      </w:pPr>
      <w:r>
        <w:t>6.2 安全需求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按菜单权限控制操作；高风险操作审计留痕。</w:t>
      </w:r>
    </w:p>
    <w:p>
      <w:pPr>
        <w:pStyle w:val="Heading3"/>
        <w:keepNext/>
      </w:pPr>
      <w:r>
        <w:t>6.3 兼容性需求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PC 员工端主流浏览器；PDA 协同。</w:t>
      </w:r>
    </w:p>
    <w:p>
      <w:pPr>
        <w:pStyle w:val="Heading2"/>
        <w:keepNext/>
      </w:pPr>
      <w:r>
        <w:t>7. 数据统计与埋点需求</w:t>
      </w:r>
    </w:p>
    <w:p>
      <w:pPr>
        <w:pStyle w:val="Heading3"/>
        <w:keepNext/>
      </w:pPr>
      <w:r>
        <w:t>7.1 业务数据监控</w:t>
      </w:r>
    </w:p>
    <w:p>
      <w:pPr>
        <w:pStyle w:val="Heading3"/>
        <w:keepNext/>
      </w:pPr>
      <w:r>
        <w:t>7.2 埋点需求清单</w:t>
      </w:r>
    </w:p>
    <w:p>
      <w:pPr>
        <w:pStyle w:val="Heading2"/>
        <w:keepNext/>
      </w:pPr>
      <w:r>
        <w:t>8. 上线与运维计划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数据初始化：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计划单、装车单、BOL 状态字典及权限配置。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培训与支持：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强调装车单/BOL 分层、减货与退仓差异、PDA 与员工端分工。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回滚策略：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保留已执行数据追溯。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