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36"/>
        </w:rPr>
        <w:t>运营看板需求说明</w:t>
      </w:r>
    </w:p>
    <w:p>
      <w:pPr>
        <w:pStyle w:val="Heading1"/>
      </w:pPr>
      <w:r>
        <w:t>1. 数据来源</w:t>
      </w:r>
    </w:p>
    <w:p>
      <w:r>
        <w:rPr>
          <w:rFonts w:ascii="微软雅黑" w:hAnsi="微软雅黑" w:eastAsia="微软雅黑"/>
        </w:rPr>
        <w:t>提拆派计划 —— 运输方式为海运（排除「已取消」状态）。</w:t>
      </w:r>
    </w:p>
    <w:p>
      <w:pPr>
        <w:pStyle w:val="Heading1"/>
      </w:pPr>
      <w:r>
        <w:t>2. 名词解释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名词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定义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预计到港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 ETA（预计到港日）统计；时间方向为前瞻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实际到仓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已实际到仓库的量；时间方向为历史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实际拆柜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已完成拆柜的量（状态为「已拆柜」，不论是否生成拆柜报告）；时间方向为历史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下单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客户下单量（排除「已取消」）；时间方向为历史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柜数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集装箱个数（整数）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方数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体积 CBM（保留 3 位小数）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重量(LB)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磅（保留 2 位小数）；界面文案固定为「重量(LB)」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本周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周一～周日（含今天的自然周）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相对本周 / 相对今天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仅预计到港：其余周期均值相对基准期（本周或今天）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环比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仅实际到仓 / 实际拆柜 / 下单：本周相对上周，或今天相对昨天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占比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行合计 ÷ 各行合计之和，整数 %，可见行之和 = 100%</w:t>
            </w:r>
          </w:p>
        </w:tc>
      </w:tr>
    </w:tbl>
    <w:p>
      <w:pPr>
        <w:pStyle w:val="Heading1"/>
      </w:pPr>
      <w:r>
        <w:t>3. 页面结构</w:t>
      </w:r>
    </w:p>
    <w:p>
      <w:pPr>
        <w:pStyle w:val="ListBullet"/>
      </w:pPr>
      <w:r>
        <w:rPr>
          <w:rFonts w:ascii="微软雅黑" w:hAnsi="微软雅黑" w:eastAsia="微软雅黑"/>
          <w:b/>
        </w:rPr>
        <w:t>今日概览</w:t>
      </w:r>
      <w:r>
        <w:rPr>
          <w:rFonts w:ascii="微软雅黑" w:hAnsi="微软雅黑" w:eastAsia="微软雅黑"/>
        </w:rPr>
        <w:t>：预计到港 / 实际到仓 / 实际拆柜 / 下单四张只读卡（今日柜数 + 对比文案）；刷新 + 更新时间（精确到秒）。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近期走势</w:t>
      </w:r>
      <w:r>
        <w:rPr>
          <w:rFonts w:ascii="微软雅黑" w:hAnsi="微软雅黑" w:eastAsia="微软雅黑"/>
        </w:rPr>
        <w:t>：全局范围「近 1 月」（默认）/「近 1 周」+ 四张独立走势表（维度、指标各自独立）。</w:t>
      </w:r>
    </w:p>
    <w:p>
      <w:r>
        <w:rPr>
          <w:rFonts w:ascii="微软雅黑" w:hAnsi="微软雅黑" w:eastAsia="微软雅黑"/>
        </w:rPr>
        <w:t>侧栏入口为「首页」，登录后默认进入本页。本期只读，不做点击数字下钻、自定义日期、图表主视图。</w:t>
      </w:r>
    </w:p>
    <w:p>
      <w:pPr>
        <w:pStyle w:val="Heading1"/>
      </w:pPr>
      <w:r>
        <w:t>4. 今日概览</w:t>
      </w:r>
    </w:p>
    <w:p>
      <w:pPr>
        <w:pStyle w:val="ListBullet"/>
      </w:pPr>
      <w:r>
        <w:rPr>
          <w:rFonts w:ascii="微软雅黑" w:hAnsi="微软雅黑" w:eastAsia="微软雅黑"/>
        </w:rPr>
        <w:t>主数字 = 该场景今日柜数（按船司汇总，避免重复计柜），单位「柜」。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预计到港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20"/>
        </w:rPr>
        <w:t>较本周日均 {round(本周柜数/7)} 柜 {涨跌}</w:t>
      </w:r>
      <w:r>
        <w:rPr>
          <w:rFonts w:ascii="微软雅黑" w:hAnsi="微软雅黑" w:eastAsia="微软雅黑"/>
        </w:rPr>
        <w:t xml:space="preserve">；涨跌基准用未取整的 </w:t>
      </w:r>
      <w:r>
        <w:rPr>
          <w:rFonts w:ascii="Consolas" w:hAnsi="Consolas" w:eastAsia="微软雅黑"/>
          <w:sz w:val="20"/>
        </w:rPr>
        <w:t>本周柜数/7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实际到仓 / 实际拆柜 / 下单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20"/>
        </w:rPr>
        <w:t>较昨日 {昨日柜数} 柜 {涨跌}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刷新</w:t>
      </w:r>
      <w:r>
        <w:rPr>
          <w:rFonts w:ascii="微软雅黑" w:hAnsi="微软雅黑" w:eastAsia="微软雅黑"/>
        </w:rPr>
        <w:t>：重算全页并更新时间戳；不重置范围 / 维度 / 指标。</w:t>
      </w:r>
    </w:p>
    <w:p>
      <w:r>
        <w:rPr>
          <w:rFonts w:ascii="微软雅黑" w:hAnsi="微软雅黑" w:eastAsia="微软雅黑"/>
        </w:rPr>
        <w:t>涨跌文案规则见第 6 节。</w:t>
      </w:r>
    </w:p>
    <w:p>
      <w:pPr>
        <w:pStyle w:val="Heading1"/>
      </w:pPr>
      <w:r>
        <w:t>5. 四个走势表</w:t>
      </w:r>
    </w:p>
    <w:p>
      <w:r>
        <w:rPr>
          <w:rFonts w:ascii="微软雅黑" w:hAnsi="微软雅黑" w:eastAsia="微软雅黑"/>
        </w:rPr>
        <w:t>四张表分别对应：预计到港、实际到仓、实际拆柜、下单。时间方向与第 2 节名词一致（预计到港前瞻，其余历史），</w:t>
      </w:r>
      <w:r>
        <w:rPr>
          <w:rFonts w:ascii="微软雅黑" w:hAnsi="微软雅黑" w:eastAsia="微软雅黑"/>
          <w:b/>
        </w:rPr>
        <w:t>禁止混用列方向或对比口径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5.1 共用规则</w:t>
      </w:r>
    </w:p>
    <w:p>
      <w:pPr>
        <w:pStyle w:val="ListBullet"/>
      </w:pPr>
      <w:r>
        <w:rPr>
          <w:rFonts w:ascii="微软雅黑" w:hAnsi="微软雅黑" w:eastAsia="微软雅黑"/>
          <w:b/>
        </w:rPr>
        <w:t>范围</w:t>
      </w:r>
      <w:r>
        <w:rPr>
          <w:rFonts w:ascii="微软雅黑" w:hAnsi="微软雅黑" w:eastAsia="微软雅黑"/>
        </w:rPr>
        <w:t>：全局切换「近 1 月」（默认、靠左）/「近 1 周」；切范围时各卡已选维度、指标保持不变。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维度</w:t>
      </w:r>
      <w:r>
        <w:rPr>
          <w:rFonts w:ascii="微软雅黑" w:hAnsi="微软雅黑" w:eastAsia="微软雅黑"/>
        </w:rPr>
        <w:t>：按船司 / 按客户 / 按 Move Type（每张卡独立）。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指标</w:t>
      </w:r>
      <w:r>
        <w:rPr>
          <w:rFonts w:ascii="微软雅黑" w:hAnsi="微软雅黑" w:eastAsia="微软雅黑"/>
        </w:rPr>
        <w:t>：柜数 / 方数 / 重量(LB)。按 Move Type 时柜数按钮保留但置灰禁用（避免多 Move Type 重复计柜）；悬停提示「Move Type 不支持按柜数统计」；若当前为柜数则自动切到方数。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默认</w:t>
      </w:r>
      <w:r>
        <w:rPr>
          <w:rFonts w:ascii="微软雅黑" w:hAnsi="微软雅黑" w:eastAsia="微软雅黑"/>
        </w:rPr>
        <w:t>：每张卡初始为按船司 + 柜数。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表高</w:t>
      </w:r>
      <w:r>
        <w:rPr>
          <w:rFonts w:ascii="微软雅黑" w:hAnsi="微软雅黑" w:eastAsia="微软雅黑"/>
        </w:rPr>
        <w:t>：约 5 行可视；不足留白，超出内滚；表头吸顶、合计吸底。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交互</w:t>
      </w:r>
      <w:r>
        <w:rPr>
          <w:rFonts w:ascii="微软雅黑" w:hAnsi="微软雅黑" w:eastAsia="微软雅黑"/>
        </w:rPr>
        <w:t>：数字不可点击跳转；切维度 / 指标 / 范围只改展示。</w:t>
      </w:r>
    </w:p>
    <w:p>
      <w:pPr>
        <w:pStyle w:val="Heading2"/>
      </w:pPr>
      <w:r>
        <w:t>5.2 列（从左到右）</w:t>
      </w:r>
    </w:p>
    <w:p>
      <w:r>
        <w:rPr>
          <w:rFonts w:ascii="微软雅黑" w:hAnsi="微软雅黑" w:eastAsia="微软雅黑"/>
        </w:rPr>
        <w:t>名称列 → 各周期列 → 合计 → 占比 → 走势对比。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列</w:t>
            </w:r>
          </w:p>
        </w:tc>
        <w:tc>
          <w:tcPr>
            <w:tcW w:type="dxa" w:w="4873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名称列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表头随维度写「船司 / 客户 / Move Type」，禁止写「维度」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周期列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见 5.3；列头近月为 </w:t>
            </w:r>
            <w:r>
              <w:rPr>
                <w:rFonts w:ascii="Consolas" w:hAnsi="Consolas" w:eastAsia="微软雅黑"/>
                <w:sz w:val="20"/>
              </w:rPr>
              <w:t>标签(M/D-M/D)</w:t>
            </w:r>
            <w:r>
              <w:rPr>
                <w:rFonts w:ascii="微软雅黑" w:hAnsi="微软雅黑" w:eastAsia="微软雅黑"/>
                <w:sz w:val="20"/>
              </w:rPr>
              <w:t xml:space="preserve">，近周为 </w:t>
            </w:r>
            <w:r>
              <w:rPr>
                <w:rFonts w:ascii="Consolas" w:hAnsi="Consolas" w:eastAsia="微软雅黑"/>
                <w:sz w:val="20"/>
              </w:rPr>
              <w:t>标签(M/D)</w:t>
            </w:r>
            <w:r>
              <w:rPr>
                <w:rFonts w:ascii="微软雅黑" w:hAnsi="微软雅黑" w:eastAsia="微软雅黑"/>
                <w:sz w:val="20"/>
              </w:rPr>
              <w:t>；基准列「本周 / 今天」表头与数值加粗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合计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本行各周期列之和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占比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船司 / 客户 / Move Type 均有。行合计 ÷ 各行合计之和，整数 %（先向下取整，余数按小数从大到小补 1）；可见行之和 = 100%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走势对比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小柱图 + 涨跌文案；</w:t>
            </w:r>
            <w:r>
              <w:rPr>
                <w:rFonts w:ascii="微软雅黑" w:hAnsi="微软雅黑" w:eastAsia="微软雅黑"/>
                <w:b/>
                <w:sz w:val="20"/>
              </w:rPr>
              <w:t>合计行此列留空</w:t>
            </w:r>
          </w:p>
        </w:tc>
      </w:tr>
    </w:tbl>
    <w:p>
      <w:r>
        <w:rPr>
          <w:rFonts w:ascii="微软雅黑" w:hAnsi="微软雅黑" w:eastAsia="微软雅黑"/>
        </w:rPr>
        <w:t xml:space="preserve">卡下副文案为统计区间 </w:t>
      </w:r>
      <w:r>
        <w:rPr>
          <w:rFonts w:ascii="Consolas" w:hAnsi="Consolas" w:eastAsia="微软雅黑"/>
          <w:sz w:val="20"/>
        </w:rPr>
        <w:t>yyyy-mm-dd ~ yyyy-mm-dd</w:t>
      </w:r>
      <w:r>
        <w:rPr>
          <w:rFonts w:ascii="微软雅黑" w:hAnsi="微软雅黑" w:eastAsia="微软雅黑"/>
        </w:rPr>
        <w:t>（早→晚）。</w:t>
      </w:r>
    </w:p>
    <w:p>
      <w:r>
        <w:rPr>
          <w:rFonts w:ascii="微软雅黑" w:hAnsi="微软雅黑" w:eastAsia="微软雅黑"/>
          <w:b/>
        </w:rPr>
        <w:t>行：</w:t>
      </w:r>
    </w:p>
    <w:p>
      <w:pPr>
        <w:pStyle w:val="ListBullet"/>
      </w:pPr>
      <w:r>
        <w:rPr>
          <w:rFonts w:ascii="微软雅黑" w:hAnsi="微软雅黑" w:eastAsia="微软雅黑"/>
        </w:rPr>
        <w:t>按合计降序；相同比最左周期列；再相同按名称。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最多 20 行：超过则保留前 19，其余合并为「其他」+ </w:t>
      </w:r>
      <w:r>
        <w:rPr>
          <w:rFonts w:ascii="Consolas" w:hAnsi="Consolas" w:eastAsia="微软雅黑"/>
          <w:sz w:val="20"/>
        </w:rPr>
        <w:t>{N} 个</w:t>
      </w:r>
      <w:r>
        <w:rPr>
          <w:rFonts w:ascii="微软雅黑" w:hAnsi="微软雅黑" w:eastAsia="微软雅黑"/>
        </w:rPr>
        <w:t>（各列求和），再重算占比。</w:t>
      </w:r>
    </w:p>
    <w:p>
      <w:pPr>
        <w:pStyle w:val="ListBullet"/>
      </w:pPr>
      <w:r>
        <w:rPr>
          <w:rFonts w:ascii="微软雅黑" w:hAnsi="微软雅黑" w:eastAsia="微软雅黑"/>
        </w:rPr>
        <w:t>表底「合计」行：汇总各周期、合计、占比（100%）；走势对比留空。</w:t>
      </w:r>
    </w:p>
    <w:p>
      <w:pPr>
        <w:pStyle w:val="ListBullet"/>
      </w:pPr>
      <w:r>
        <w:rPr>
          <w:rFonts w:ascii="微软雅黑" w:hAnsi="微软雅黑" w:eastAsia="微软雅黑"/>
        </w:rPr>
        <w:t>无数据：提示「暂无数据」，合计为 0，高度仍约 5 行。</w:t>
      </w:r>
    </w:p>
    <w:p>
      <w:pPr>
        <w:pStyle w:val="Heading2"/>
      </w:pPr>
      <w:r>
        <w:t>5.3 周期列差在哪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近 1 月（左→右，共 4 列）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近 1 周（左→右，共 7 列）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预计到港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本周、+1 周、+2 周、+3 周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今天起</w:t>
            </w:r>
            <w:r>
              <w:rPr>
                <w:rFonts w:ascii="微软雅黑" w:hAnsi="微软雅黑" w:eastAsia="微软雅黑"/>
                <w:b/>
                <w:sz w:val="20"/>
              </w:rPr>
              <w:t>往后</w:t>
            </w:r>
            <w:r>
              <w:rPr>
                <w:rFonts w:ascii="微软雅黑" w:hAnsi="微软雅黑" w:eastAsia="微软雅黑"/>
                <w:sz w:val="20"/>
              </w:rPr>
              <w:t xml:space="preserve"> 7 天（含今天）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实际到仓 / 实际拆柜 / 下单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本周、上周、前 2 周、前 3 周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今天起</w:t>
            </w:r>
            <w:r>
              <w:rPr>
                <w:rFonts w:ascii="微软雅黑" w:hAnsi="微软雅黑" w:eastAsia="微软雅黑"/>
                <w:b/>
                <w:sz w:val="20"/>
              </w:rPr>
              <w:t>往前</w:t>
            </w:r>
            <w:r>
              <w:rPr>
                <w:rFonts w:ascii="微软雅黑" w:hAnsi="微软雅黑" w:eastAsia="微软雅黑"/>
                <w:sz w:val="20"/>
              </w:rPr>
              <w:t xml:space="preserve"> 7 天（含今天；第 2 列为昨天）</w:t>
            </w:r>
          </w:p>
        </w:tc>
      </w:tr>
    </w:tbl>
    <w:p>
      <w:r>
        <w:rPr>
          <w:rFonts w:ascii="微软雅黑" w:hAnsi="微软雅黑" w:eastAsia="微软雅黑"/>
        </w:rPr>
        <w:t>周边界：周一～周日。无自定义日期。</w:t>
      </w:r>
    </w:p>
    <w:p>
      <w:pPr>
        <w:pStyle w:val="Heading2"/>
      </w:pPr>
      <w:r>
        <w:t>5.4 最右「对比」差在哪</w:t>
      </w:r>
    </w:p>
    <w:p>
      <w:r>
        <w:rPr>
          <w:rFonts w:ascii="微软雅黑" w:hAnsi="微软雅黑" w:eastAsia="微软雅黑"/>
        </w:rPr>
        <w:t>两种比法，不要混。</w:t>
      </w:r>
    </w:p>
    <w:p>
      <w:r>
        <w:rPr>
          <w:rFonts w:ascii="微软雅黑" w:hAnsi="微软雅黑" w:eastAsia="微软雅黑"/>
          <w:b/>
        </w:rPr>
        <w:t>预计到港 —— 后面几期的平均，比现在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范围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列名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怎么算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近 1 月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相对本周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 3 周的平均值，和本周比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近 1 周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相对今天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其余 6 天的平均值，和今天比</w:t>
            </w:r>
          </w:p>
        </w:tc>
      </w:tr>
    </w:tbl>
    <w:p>
      <w:r>
        <w:rPr>
          <w:rFonts w:ascii="微软雅黑" w:hAnsi="微软雅黑" w:eastAsia="微软雅黑"/>
          <w:b/>
        </w:rPr>
        <w:t>实际到仓 / 实际拆柜 / 下单 —— 只和紧挨着的上一期比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范围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列名</w:t>
            </w:r>
          </w:p>
        </w:tc>
        <w:tc>
          <w:tcPr>
            <w:tcW w:type="dxa" w:w="3249"/>
            <w:shd w:fill="F1F5F9" w:val="clear"/>
          </w:tcPr>
          <w:p>
            <w:r>
              <w:rPr>
                <w:b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怎么算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近 1 月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环比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本周 比 上周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近 1 周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环比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今天 比 昨天</w:t>
            </w:r>
          </w:p>
        </w:tc>
      </w:tr>
    </w:tbl>
    <w:p>
      <w:r>
        <w:rPr>
          <w:rFonts w:ascii="微软雅黑" w:hAnsi="微软雅黑" w:eastAsia="微软雅黑"/>
        </w:rPr>
        <w:t xml:space="preserve">小柱图：本行各周期各一根柱，根数 = 周期列数；最左周期（本周 / 今天）用深蓝。表头 </w:t>
      </w:r>
      <w:r>
        <w:rPr>
          <w:rFonts w:ascii="Consolas" w:hAnsi="Consolas" w:eastAsia="微软雅黑"/>
          <w:sz w:val="20"/>
        </w:rPr>
        <w:t>i</w:t>
      </w:r>
      <w:r>
        <w:rPr>
          <w:rFonts w:ascii="微软雅黑" w:hAnsi="微软雅黑" w:eastAsia="微软雅黑"/>
        </w:rPr>
        <w:t xml:space="preserve"> tip 用上表原话说明小柱与百分比即可。涨跌样式见第 6 节。</w:t>
      </w:r>
    </w:p>
    <w:p>
      <w:pPr>
        <w:pStyle w:val="Heading1"/>
      </w:pPr>
      <w:r>
        <w:t>6. 涨跌文案（今日概览与走势表共用）</w:t>
      </w:r>
    </w:p>
    <w:p>
      <w:r>
        <w:rPr>
          <w:rFonts w:ascii="微软雅黑" w:hAnsi="微软雅黑" w:eastAsia="微软雅黑"/>
        </w:rPr>
        <w:t>颜色固定：</w:t>
      </w:r>
      <w:r>
        <w:rPr>
          <w:rFonts w:ascii="微软雅黑" w:hAnsi="微软雅黑" w:eastAsia="微软雅黑"/>
          <w:b/>
        </w:rPr>
        <w:t>上涨红、下跌绿</w:t>
      </w:r>
      <w:r>
        <w:rPr>
          <w:rFonts w:ascii="微软雅黑" w:hAnsi="微软雅黑" w:eastAsia="微软雅黑"/>
        </w:rPr>
        <w:t>；比不了或持平时用灰。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基准为 0</w:t>
      </w:r>
      <w:r>
        <w:rPr>
          <w:rFonts w:ascii="微软雅黑" w:hAnsi="微软雅黑" w:eastAsia="微软雅黑"/>
        </w:rPr>
        <w:t xml:space="preserve">（含两边都没量）→ </w:t>
      </w:r>
      <w:r>
        <w:rPr>
          <w:rFonts w:ascii="Consolas" w:hAnsi="Consolas" w:eastAsia="微软雅黑"/>
          <w:sz w:val="20"/>
        </w:rPr>
        <w:t>—</w:t>
      </w:r>
      <w:r>
        <w:rPr>
          <w:rFonts w:ascii="微软雅黑" w:hAnsi="微软雅黑" w:eastAsia="微软雅黑"/>
        </w:rPr>
        <w:t>（无法算涨跌幅；当期有量看主数字即可）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|涨跌幅| &lt; 0.5%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微软雅黑"/>
          <w:sz w:val="20"/>
        </w:rPr>
        <w:t>持平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涨跌幅 ≥ 0.5% → </w:t>
      </w:r>
      <w:r>
        <w:rPr>
          <w:rFonts w:ascii="Consolas" w:hAnsi="Consolas" w:eastAsia="微软雅黑"/>
          <w:sz w:val="20"/>
        </w:rPr>
        <w:t>↑N%</w:t>
      </w:r>
      <w:r>
        <w:rPr>
          <w:rFonts w:ascii="微软雅黑" w:hAnsi="微软雅黑" w:eastAsia="微软雅黑"/>
        </w:rPr>
        <w:t>（红）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涨跌幅 ≤ −0.5% → </w:t>
      </w:r>
      <w:r>
        <w:rPr>
          <w:rFonts w:ascii="Consolas" w:hAnsi="Consolas" w:eastAsia="微软雅黑"/>
          <w:sz w:val="20"/>
        </w:rPr>
        <w:t>↓N%</w:t>
      </w:r>
      <w:r>
        <w:rPr>
          <w:rFonts w:ascii="微软雅黑" w:hAnsi="微软雅黑" w:eastAsia="微软雅黑"/>
        </w:rPr>
        <w:t>（绿）</w:t>
      </w:r>
    </w:p>
    <w:p>
      <w:r>
        <w:rPr>
          <w:rFonts w:ascii="微软雅黑" w:hAnsi="微软雅黑" w:eastAsia="微软雅黑"/>
        </w:rPr>
        <w:t>涨跌幅 =（当期 − 基准）÷ 基准 × 100%；</w:t>
      </w:r>
      <w:r>
        <w:rPr>
          <w:rFonts w:ascii="Consolas" w:hAnsi="Consolas" w:eastAsia="微软雅黑"/>
          <w:sz w:val="20"/>
        </w:rPr>
        <w:t>N</w:t>
      </w:r>
      <w:r>
        <w:rPr>
          <w:rFonts w:ascii="微软雅黑" w:hAnsi="微软雅黑" w:eastAsia="微软雅黑"/>
        </w:rPr>
        <w:t xml:space="preserve"> 为绝对值四舍五入后的整数。</w:t>
      </w:r>
    </w:p>
    <w:p>
      <w:pPr>
        <w:pStyle w:val="Heading1"/>
      </w:pPr>
      <w:r>
        <w:t>7. 验收要点</w:t>
      </w:r>
    </w:p>
    <w:p>
      <w:pPr>
        <w:pStyle w:val="ListBullet"/>
      </w:pPr>
      <w:r>
        <w:rPr>
          <w:rFonts w:ascii="微软雅黑" w:hAnsi="微软雅黑" w:eastAsia="微软雅黑"/>
        </w:rPr>
        <w:t>数据范围：提拆派海运，排除已取消。</w:t>
      </w:r>
    </w:p>
    <w:p>
      <w:pPr>
        <w:pStyle w:val="ListBullet"/>
      </w:pPr>
      <w:r>
        <w:rPr>
          <w:rFonts w:ascii="微软雅黑" w:hAnsi="微软雅黑" w:eastAsia="微软雅黑"/>
        </w:rPr>
        <w:t>今日 KPI：预计到港较本周日均；其余较昨日；柜数按船司汇总。</w:t>
      </w:r>
    </w:p>
    <w:p>
      <w:pPr>
        <w:pStyle w:val="ListBullet"/>
      </w:pPr>
      <w:r>
        <w:rPr>
          <w:rFonts w:ascii="微软雅黑" w:hAnsi="微软雅黑" w:eastAsia="微软雅黑"/>
        </w:rPr>
        <w:t>周期列：预计到港往后、实际类往前；近月 4 列、近周 7 列，不错用。</w:t>
      </w:r>
    </w:p>
    <w:p>
      <w:pPr>
        <w:pStyle w:val="ListBullet"/>
      </w:pPr>
      <w:r>
        <w:rPr>
          <w:rFonts w:ascii="微软雅黑" w:hAnsi="微软雅黑" w:eastAsia="微软雅黑"/>
        </w:rPr>
        <w:t>对比：预计到港用后几期平均比现在；实际类只和上一期比。</w:t>
      </w:r>
    </w:p>
    <w:p>
      <w:pPr>
        <w:pStyle w:val="ListBullet"/>
      </w:pPr>
      <w:r>
        <w:rPr>
          <w:rFonts w:ascii="微软雅黑" w:hAnsi="微软雅黑" w:eastAsia="微软雅黑"/>
        </w:rPr>
        <w:t>Move Type：柜数置灰；从柜数切入自动切方数。</w:t>
      </w:r>
    </w:p>
    <w:p>
      <w:pPr>
        <w:pStyle w:val="ListBullet"/>
      </w:pPr>
      <w:r>
        <w:rPr>
          <w:rFonts w:ascii="微软雅黑" w:hAnsi="微软雅黑" w:eastAsia="微软雅黑"/>
        </w:rPr>
        <w:t>首列随维度；Top19+其他；三种维度均有占比且合计 100%；合计行走势列空。</w:t>
      </w:r>
    </w:p>
    <w:p>
      <w:pPr>
        <w:pStyle w:val="ListBullet"/>
      </w:pPr>
      <w:r>
        <w:rPr>
          <w:rFonts w:ascii="微软雅黑" w:hAnsi="微软雅黑" w:eastAsia="微软雅黑"/>
        </w:rPr>
        <w:t>表约 5 行高；数字不跳转；刷新不丢筛选状态。</w:t>
      </w:r>
    </w:p>
    <w:p>
      <w:pPr>
        <w:pStyle w:val="ListBullet"/>
      </w:pPr>
      <w:r>
        <w:rPr>
          <w:rFonts w:ascii="微软雅黑" w:hAnsi="微软雅黑" w:eastAsia="微软雅黑"/>
        </w:rPr>
        <w:t>方数 3 位小数；重量(LB) 2 位小数；柜数整数。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20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20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20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20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A203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