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Understanding Project File Structures</w:t>
      </w:r>
    </w:p>
    <w:p>
      <w:pPr>
        <w:spacing w:after="280"/>
      </w:pPr>
      <w:r>
        <w:rPr>
          <w:rFonts w:ascii="Calibri" w:hAnsi="Calibri"/>
          <w:i/>
          <w:color w:val="0F766E"/>
          <w:sz w:val="22"/>
        </w:rPr>
        <w:t>A Beginner's Guide to Repository Organization in VS Code &amp; GitHub</w:t>
      </w:r>
    </w:p>
    <w:p>
      <w:pPr>
        <w:spacing w:after="200" w:line="276" w:lineRule="auto"/>
      </w:pPr>
      <w:r>
        <w:rPr>
          <w:rFonts w:ascii="Calibri" w:hAnsi="Calibri"/>
          <w:color w:val="1F2937"/>
          <w:sz w:val="21"/>
        </w:rPr>
        <w:t>Think of a file structure simply as the folder layout of your project—just like the folders and subfolders you create on your computer's desktop or in a filing cabinet. When working with code, computers and automated tools (like Maven, Docker, or GitHub Actions) are very strict. They look for specific files inside exact folder names, otherwise they won't know where to find them.</w:t>
      </w:r>
    </w:p>
    <w:p>
      <w:pPr>
        <w:keepNext/>
        <w:spacing w:before="320" w:after="120"/>
      </w:pPr>
      <w:r>
        <w:rPr>
          <w:rFonts w:ascii="Calibri" w:hAnsi="Calibri"/>
          <w:b/>
          <w:color w:val="1E3A8A"/>
          <w:sz w:val="28"/>
        </w:rPr>
        <w:t>1. The Project File Structure Layout</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0" w:after="0" w:line="252" w:lineRule="auto"/>
            </w:pPr>
            <w:r>
              <w:rPr>
                <w:rFonts w:ascii="Consolas" w:hAnsi="Consolas"/>
                <w:color w:val="E2E8F0"/>
                <w:sz w:val="19"/>
              </w:rPr>
              <w:t>my-java-app/                 &lt;-- 1. Main Project Folder (Root)</w:t>
              <w:br/>
              <w:t>├── .github/                 &lt;-- 2. Hidden folder for GitHub automation</w:t>
              <w:br/>
              <w:t>│   └── workflows/</w:t>
              <w:br/>
              <w:t>│       └── pipeline.yml     &lt;-- GitHub Actions looks here automatically</w:t>
              <w:br/>
              <w:t>├── src/                     &lt;-- 3. Source code folder (where actual code lives)</w:t>
              <w:br/>
              <w:t>│   ├── main/</w:t>
              <w:br/>
              <w:t>│   │   └── java/            &lt;-- Your Java source code goes here</w:t>
              <w:br/>
              <w:t>│   └── test/                &lt;-- Your unit test files go here</w:t>
              <w:br/>
              <w:t>├── Dockerfile               &lt;-- 4. Instructions for building your container</w:t>
              <w:br/>
              <w:t>└── pom.xml                  &lt;-- 5. Maven configuration file</w:t>
            </w:r>
          </w:p>
        </w:tc>
      </w:tr>
    </w:tbl>
    <w:p>
      <w:pPr>
        <w:spacing w:after="120"/>
      </w:pPr>
    </w:p>
    <w:p>
      <w:pPr>
        <w:keepNext/>
        <w:spacing w:before="320" w:after="120"/>
      </w:pPr>
      <w:r>
        <w:rPr>
          <w:rFonts w:ascii="Calibri" w:hAnsi="Calibri"/>
          <w:b/>
          <w:color w:val="1E3A8A"/>
          <w:sz w:val="28"/>
        </w:rPr>
        <w:t>2. Detailed Component Breakdown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rPr>
          <w:cantSplit/>
          <w:tblHeader/>
        </w:trPr>
        <w:tc>
          <w:tcPr>
            <w:tcW w:type="dxa" w:w="3600"/>
            <w:shd w:fill="1E3A8A"/>
            <w:tcMar>
              <w:top w:w="120" w:type="dxa"/>
              <w:bottom w:w="120" w:type="dxa"/>
              <w:left w:w="120" w:type="dxa"/>
              <w:right w:w="120" w:type="dxa"/>
            </w:tcMar>
          </w:tcPr>
          <w:p>
            <w:pPr>
              <w:spacing w:before="0" w:after="0"/>
            </w:pPr>
            <w:r>
              <w:rPr>
                <w:rFonts w:ascii="Calibri" w:hAnsi="Calibri"/>
                <w:b/>
                <w:color w:val="FFFFFF"/>
                <w:sz w:val="20"/>
              </w:rPr>
              <w:t>Component / Folder Path</w:t>
            </w:r>
          </w:p>
        </w:tc>
        <w:tc>
          <w:tcPr>
            <w:tcW w:type="dxa" w:w="6336"/>
            <w:shd w:fill="1E3A8A"/>
            <w:tcMar>
              <w:top w:w="120" w:type="dxa"/>
              <w:bottom w:w="120" w:type="dxa"/>
              <w:left w:w="120" w:type="dxa"/>
              <w:right w:w="120" w:type="dxa"/>
            </w:tcMar>
          </w:tcPr>
          <w:p>
            <w:pPr>
              <w:spacing w:before="0" w:after="0"/>
            </w:pPr>
            <w:r>
              <w:rPr>
                <w:rFonts w:ascii="Calibri" w:hAnsi="Calibri"/>
                <w:b/>
                <w:color w:val="FFFFFF"/>
                <w:sz w:val="20"/>
              </w:rPr>
              <w:t>Purpose &amp; Explanation</w:t>
            </w:r>
          </w:p>
        </w:tc>
      </w:tr>
      <w:tr>
        <w:trPr>
          <w:cantSplit/>
        </w:trPr>
        <w:tc>
          <w:tcPr>
            <w:tcW w:type="dxa" w:w="3600"/>
            <w:shd w:fill="F8FAFC"/>
            <w:tcMar>
              <w:top w:w="100" w:type="dxa"/>
              <w:bottom w:w="100" w:type="dxa"/>
              <w:left w:w="120" w:type="dxa"/>
              <w:right w:w="120" w:type="dxa"/>
            </w:tcMar>
          </w:tcPr>
          <w:p>
            <w:pPr>
              <w:spacing w:before="0" w:after="0"/>
            </w:pPr>
            <w:r>
              <w:rPr>
                <w:rFonts w:ascii="Consolas" w:hAnsi="Consolas"/>
                <w:b/>
                <w:color w:val="1E3A8A"/>
                <w:sz w:val="18"/>
              </w:rPr>
              <w:t>1. The Root Folder</w:t>
              <w:br/>
              <w:t>(my-java-app/)</w:t>
            </w:r>
          </w:p>
        </w:tc>
        <w:tc>
          <w:tcPr>
            <w:tcW w:type="dxa" w:w="6336"/>
            <w:shd w:fill="F8FAFC"/>
            <w:tcMar>
              <w:top w:w="100" w:type="dxa"/>
              <w:bottom w:w="100" w:type="dxa"/>
              <w:left w:w="120" w:type="dxa"/>
              <w:right w:w="120" w:type="dxa"/>
            </w:tcMar>
          </w:tcPr>
          <w:p>
            <w:pPr>
              <w:spacing w:before="0" w:after="0" w:line="276" w:lineRule="auto"/>
            </w:pPr>
            <w:r>
              <w:rPr>
                <w:rFonts w:ascii="Calibri" w:hAnsi="Calibri"/>
                <w:color w:val="1F2937"/>
                <w:sz w:val="19"/>
              </w:rPr>
              <w:t>This is the main parent folder holding everything for your project. When you open your project in VS Code, this top-level directory is your workspace root.</w:t>
            </w:r>
          </w:p>
        </w:tc>
      </w:tr>
      <w:tr>
        <w:trPr>
          <w:cantSplit/>
        </w:trPr>
        <w:tc>
          <w:tcPr>
            <w:tcW w:type="dxa" w:w="3600"/>
            <w:shd w:fill="FFFFFF"/>
            <w:tcMar>
              <w:top w:w="100" w:type="dxa"/>
              <w:bottom w:w="100" w:type="dxa"/>
              <w:left w:w="120" w:type="dxa"/>
              <w:right w:w="120" w:type="dxa"/>
            </w:tcMar>
          </w:tcPr>
          <w:p>
            <w:pPr>
              <w:spacing w:before="0" w:after="0"/>
            </w:pPr>
            <w:r>
              <w:rPr>
                <w:rFonts w:ascii="Consolas" w:hAnsi="Consolas"/>
                <w:b/>
                <w:color w:val="1E3A8A"/>
                <w:sz w:val="18"/>
              </w:rPr>
              <w:t>2. .github/workflows/</w:t>
              <w:br/>
              <w:t>Directory</w:t>
            </w:r>
          </w:p>
        </w:tc>
        <w:tc>
          <w:tcPr>
            <w:tcW w:type="dxa" w:w="6336"/>
            <w:shd w:fill="FFFFFF"/>
            <w:tcMar>
              <w:top w:w="100" w:type="dxa"/>
              <w:bottom w:w="100" w:type="dxa"/>
              <w:left w:w="120" w:type="dxa"/>
              <w:right w:w="120" w:type="dxa"/>
            </w:tcMar>
          </w:tcPr>
          <w:p>
            <w:pPr>
              <w:spacing w:before="0" w:after="0" w:line="276" w:lineRule="auto"/>
            </w:pPr>
            <w:r>
              <w:rPr>
                <w:rFonts w:ascii="Calibri" w:hAnsi="Calibri"/>
                <w:color w:val="1F2937"/>
                <w:sz w:val="19"/>
              </w:rPr>
              <w:t>A mandatory folder path for automation. GitHub Actions is programmed to strictly look inside .github/workflows/ to find your .yml pipeline scripts. Placing it anywhere else means GitHub will not execute it.</w:t>
            </w:r>
          </w:p>
        </w:tc>
      </w:tr>
      <w:tr>
        <w:trPr>
          <w:cantSplit/>
        </w:trPr>
        <w:tc>
          <w:tcPr>
            <w:tcW w:type="dxa" w:w="3600"/>
            <w:shd w:fill="F8FAFC"/>
            <w:tcMar>
              <w:top w:w="100" w:type="dxa"/>
              <w:bottom w:w="100" w:type="dxa"/>
              <w:left w:w="120" w:type="dxa"/>
              <w:right w:w="120" w:type="dxa"/>
            </w:tcMar>
          </w:tcPr>
          <w:p>
            <w:pPr>
              <w:spacing w:before="0" w:after="0"/>
            </w:pPr>
            <w:r>
              <w:rPr>
                <w:rFonts w:ascii="Consolas" w:hAnsi="Consolas"/>
                <w:b/>
                <w:color w:val="1E3A8A"/>
                <w:sz w:val="18"/>
              </w:rPr>
              <w:t>3. src/ (Source) Folder</w:t>
            </w:r>
          </w:p>
        </w:tc>
        <w:tc>
          <w:tcPr>
            <w:tcW w:type="dxa" w:w="6336"/>
            <w:shd w:fill="F8FAFC"/>
            <w:tcMar>
              <w:top w:w="100" w:type="dxa"/>
              <w:bottom w:w="100" w:type="dxa"/>
              <w:left w:w="120" w:type="dxa"/>
              <w:right w:w="120" w:type="dxa"/>
            </w:tcMar>
          </w:tcPr>
          <w:p>
            <w:pPr>
              <w:spacing w:before="0" w:after="0" w:line="276" w:lineRule="auto"/>
            </w:pPr>
            <w:r>
              <w:rPr>
                <w:rFonts w:ascii="Calibri" w:hAnsi="Calibri"/>
                <w:color w:val="1F2937"/>
                <w:sz w:val="19"/>
              </w:rPr>
              <w:t>This folder contains all application logic and unit tests, divided cleanly into src/main/java (application code) and src/test/java (test suites).</w:t>
            </w:r>
          </w:p>
        </w:tc>
      </w:tr>
      <w:tr>
        <w:trPr>
          <w:cantSplit/>
        </w:trPr>
        <w:tc>
          <w:tcPr>
            <w:tcW w:type="dxa" w:w="3600"/>
            <w:shd w:fill="FFFFFF"/>
            <w:tcMar>
              <w:top w:w="100" w:type="dxa"/>
              <w:bottom w:w="100" w:type="dxa"/>
              <w:left w:w="120" w:type="dxa"/>
              <w:right w:w="120" w:type="dxa"/>
            </w:tcMar>
          </w:tcPr>
          <w:p>
            <w:pPr>
              <w:spacing w:before="0" w:after="0"/>
            </w:pPr>
            <w:r>
              <w:rPr>
                <w:rFonts w:ascii="Consolas" w:hAnsi="Consolas"/>
                <w:b/>
                <w:color w:val="1E3A8A"/>
                <w:sz w:val="18"/>
              </w:rPr>
              <w:t>4. Dockerfile</w:t>
            </w:r>
          </w:p>
        </w:tc>
        <w:tc>
          <w:tcPr>
            <w:tcW w:type="dxa" w:w="6336"/>
            <w:shd w:fill="FFFFFF"/>
            <w:tcMar>
              <w:top w:w="100" w:type="dxa"/>
              <w:bottom w:w="100" w:type="dxa"/>
              <w:left w:w="120" w:type="dxa"/>
              <w:right w:w="120" w:type="dxa"/>
            </w:tcMar>
          </w:tcPr>
          <w:p>
            <w:pPr>
              <w:spacing w:before="0" w:after="0" w:line="276" w:lineRule="auto"/>
            </w:pPr>
            <w:r>
              <w:rPr>
                <w:rFonts w:ascii="Calibri" w:hAnsi="Calibri"/>
                <w:color w:val="1F2937"/>
                <w:sz w:val="19"/>
              </w:rPr>
              <w:t>Located right at the project root so Docker engines can instantly locate it to build and package your application into a container image.</w:t>
            </w:r>
          </w:p>
        </w:tc>
      </w:tr>
      <w:tr>
        <w:trPr>
          <w:cantSplit/>
        </w:trPr>
        <w:tc>
          <w:tcPr>
            <w:tcW w:type="dxa" w:w="3600"/>
            <w:shd w:fill="F8FAFC"/>
            <w:tcMar>
              <w:top w:w="100" w:type="dxa"/>
              <w:bottom w:w="100" w:type="dxa"/>
              <w:left w:w="120" w:type="dxa"/>
              <w:right w:w="120" w:type="dxa"/>
            </w:tcMar>
          </w:tcPr>
          <w:p>
            <w:pPr>
              <w:spacing w:before="0" w:after="0"/>
            </w:pPr>
            <w:r>
              <w:rPr>
                <w:rFonts w:ascii="Consolas" w:hAnsi="Consolas"/>
                <w:b/>
                <w:color w:val="1E3A8A"/>
                <w:sz w:val="18"/>
              </w:rPr>
              <w:t>5. pom.xml File</w:t>
            </w:r>
          </w:p>
        </w:tc>
        <w:tc>
          <w:tcPr>
            <w:tcW w:type="dxa" w:w="6336"/>
            <w:shd w:fill="F8FAFC"/>
            <w:tcMar>
              <w:top w:w="100" w:type="dxa"/>
              <w:bottom w:w="100" w:type="dxa"/>
              <w:left w:w="120" w:type="dxa"/>
              <w:right w:w="120" w:type="dxa"/>
            </w:tcMar>
          </w:tcPr>
          <w:p>
            <w:pPr>
              <w:spacing w:before="0" w:after="0" w:line="276" w:lineRule="auto"/>
            </w:pPr>
            <w:r>
              <w:rPr>
                <w:rFonts w:ascii="Calibri" w:hAnsi="Calibri"/>
                <w:color w:val="1F2937"/>
                <w:sz w:val="19"/>
              </w:rPr>
              <w:t>Also situated at the root folder so Maven automatically recognizes build instructions, plugins, and Java project dependencies.</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