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resistencia equivalente.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300Ω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50Ω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7Ω</w:t>
      </w:r>
    </w:p>
    <w:p>
      <w:pPr>
        <w:pStyle w:val="Choice"/>
      </w:pPr>
      <w:r>
        <w:t>b)</w:t>
        <w:tab/>
        <w:t>19Ω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Ω</w:t>
      </w:r>
    </w:p>
    <w:p>
      <w:pPr>
        <w:pStyle w:val="Choice"/>
      </w:pPr>
      <w:r>
        <w:t>b)</w:t>
        <w:tab/>
        <w:t>Ω</w:t>
      </w:r>
    </w:p>
    <w:p>
      <w:pPr>
        <w:pStyle w:val="Choice"/>
      </w:pPr>
      <w:r>
        <w:t>c)</w:t>
        <w:tab/>
        <w:t>Ω</w:t>
      </w:r>
    </w:p>
    <w:p>
      <w:pPr>
        <w:pStyle w:val="Choice"/>
      </w:pPr>
      <w:r>
        <w:t>d)</w:t>
        <w:tab/>
        <w:t>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