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swald" w:cs="Oswald" w:eastAsia="Oswald" w:hAnsi="Oswald"/>
          <w:color w:val="222222"/>
          <w:sz w:val="88"/>
          <w:szCs w:val="88"/>
        </w:rPr>
      </w:pPr>
      <w:r w:rsidDel="00000000" w:rsidR="00000000" w:rsidRPr="00000000">
        <w:rPr>
          <w:rFonts w:ascii="Oswald" w:cs="Oswald" w:eastAsia="Oswald" w:hAnsi="Oswald"/>
          <w:color w:val="222222"/>
          <w:sz w:val="88"/>
          <w:szCs w:val="88"/>
          <w:rtl w:val="0"/>
        </w:rPr>
        <w:t xml:space="preserve">Bon de Commande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Réf 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{{ref-bc}}</w:t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jc w:val="center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Associé à la Convention-Cadre réf 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{{ref-cca}}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4249575" cy="14383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575" cy="143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Entre :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Junior 42Paris,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association régie par la loi du 1er juillet 1901, inscrite au RNA sous le numéro W751256567,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située 96, Boulevard Bessières, 75017 Paris,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représentée par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{{prenom-president-junior}} {{nom-president-junior}}, {{fonction-president-junior}}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after="200" w:lineRule="auto"/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D'une part,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Et 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{{raison-sociale-client}}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{{description-juridique-client}}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située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{{adresse-client}}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représentée par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{{prenom-nom-client}}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{{fonction-client}}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D'autre part.</w:t>
      </w:r>
    </w:p>
    <w:p w:rsidR="00000000" w:rsidDel="00000000" w:rsidP="00000000" w:rsidRDefault="00000000" w:rsidRPr="00000000" w14:paraId="00000015">
      <w:pPr>
        <w:spacing w:after="200" w:lineRule="auto"/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qo02742r58br" w:id="0"/>
      <w:bookmarkEnd w:id="0"/>
      <w:r w:rsidDel="00000000" w:rsidR="00000000" w:rsidRPr="00000000">
        <w:rPr>
          <w:rtl w:val="0"/>
        </w:rPr>
        <w:t xml:space="preserve">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tsqncp1u8hf" w:id="1"/>
      <w:bookmarkEnd w:id="1"/>
      <w:r w:rsidDel="00000000" w:rsidR="00000000" w:rsidRPr="00000000">
        <w:rPr>
          <w:rtl w:val="0"/>
        </w:rPr>
        <w:t xml:space="preserve">Description du livrable</w:t>
      </w:r>
    </w:p>
    <w:p w:rsidR="00000000" w:rsidDel="00000000" w:rsidP="00000000" w:rsidRDefault="00000000" w:rsidRPr="00000000" w14:paraId="00000019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CAHIER DES CHARGES</w:t>
      </w:r>
    </w:p>
    <w:p w:rsidR="00000000" w:rsidDel="00000000" w:rsidP="00000000" w:rsidRDefault="00000000" w:rsidRPr="00000000" w14:paraId="0000001A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Sous forme de </w:t>
      </w: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u w:val="single"/>
          <w:rtl w:val="0"/>
        </w:rPr>
        <w:t xml:space="preserve">Définition Of Done</w:t>
      </w: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 : découpé par page (pour site/app) / fonctionnalité, et pour chaque fonctionnalité, donner une définition de ce que l’on considère comme “Réalisé” (Done)</w:t>
      </w:r>
    </w:p>
    <w:p w:rsidR="00000000" w:rsidDel="00000000" w:rsidP="00000000" w:rsidRDefault="00000000" w:rsidRPr="00000000" w14:paraId="0000001B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Voir les exemples de BC et cahier des charges dans la boîte à outil CDP :)</w:t>
      </w:r>
    </w:p>
    <w:p w:rsidR="00000000" w:rsidDel="00000000" w:rsidP="00000000" w:rsidRDefault="00000000" w:rsidRPr="00000000" w14:paraId="0000001C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Et demander au pôle suivi d’étude pour d’autres exemples / des exemples beaucoup plus proches de votre mission!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1"/>
        <w:spacing w:after="60" w:before="240" w:lineRule="auto"/>
        <w:jc w:val="both"/>
        <w:rPr>
          <w:rFonts w:ascii="Open Sans" w:cs="Open Sans" w:eastAsia="Open Sans" w:hAnsi="Open Sans"/>
          <w:sz w:val="20"/>
          <w:szCs w:val="20"/>
        </w:rPr>
      </w:pPr>
      <w:bookmarkStart w:colFirst="0" w:colLast="0" w:name="_4d34og8" w:id="2"/>
      <w:bookmarkEnd w:id="2"/>
      <w:r w:rsidDel="00000000" w:rsidR="00000000" w:rsidRPr="00000000">
        <w:rPr>
          <w:rtl w:val="0"/>
        </w:rPr>
        <w:t xml:space="preserve">Points de contrôle et validations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Point de contrôle = un PVRI / un PVRF</w:t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Dans 99% des cas, laisser un seul point de contrôle à la fin du BC</w:t>
      </w:r>
    </w:p>
    <w:p w:rsidR="00000000" w:rsidDel="00000000" w:rsidP="00000000" w:rsidRDefault="00000000" w:rsidRPr="00000000" w14:paraId="00000020">
      <w:pPr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u w:val="single"/>
          <w:rtl w:val="0"/>
        </w:rPr>
        <w:t xml:space="preserve">Point de contrôle final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 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 Remise du livrable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Il a lieu à la fin de l’étude et permet la remise du livrable réalisé lors de la durée de ce Bon de Commande.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bookmarkStart w:colFirst="0" w:colLast="0" w:name="_apoub0e0r0os" w:id="3"/>
      <w:bookmarkEnd w:id="3"/>
      <w:r w:rsidDel="00000000" w:rsidR="00000000" w:rsidRPr="00000000">
        <w:rPr>
          <w:rtl w:val="0"/>
        </w:rPr>
        <w:t xml:space="preserve">Délais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jc w:val="both"/>
        <w:rPr>
          <w:rFonts w:ascii="Open Sans" w:cs="Open Sans" w:eastAsia="Open Sans" w:hAnsi="Open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Phase 1 : xxx </w:t>
      </w:r>
    </w:p>
    <w:p w:rsidR="00000000" w:rsidDel="00000000" w:rsidP="00000000" w:rsidRDefault="00000000" w:rsidRPr="00000000" w14:paraId="00000027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Durée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 : 4 semaines.</w:t>
      </w:r>
    </w:p>
    <w:p w:rsidR="00000000" w:rsidDel="00000000" w:rsidP="00000000" w:rsidRDefault="00000000" w:rsidRPr="00000000" w14:paraId="00000029">
      <w:pPr>
        <w:spacing w:before="200" w:lineRule="auto"/>
        <w:jc w:val="both"/>
        <w:rPr>
          <w:rFonts w:ascii="Open Sans" w:cs="Open Sans" w:eastAsia="Open Sans" w:hAnsi="Open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Phase 2 : xxx</w:t>
      </w:r>
    </w:p>
    <w:p w:rsidR="00000000" w:rsidDel="00000000" w:rsidP="00000000" w:rsidRDefault="00000000" w:rsidRPr="00000000" w14:paraId="0000002A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2B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Durée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 : 4 semaines.</w:t>
      </w:r>
    </w:p>
    <w:p w:rsidR="00000000" w:rsidDel="00000000" w:rsidP="00000000" w:rsidRDefault="00000000" w:rsidRPr="00000000" w14:paraId="0000002C">
      <w:pPr>
        <w:spacing w:before="200" w:lineRule="auto"/>
        <w:jc w:val="both"/>
        <w:rPr>
          <w:rFonts w:ascii="Open Sans" w:cs="Open Sans" w:eastAsia="Open Sans" w:hAnsi="Open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Phase 3 : xxx</w:t>
      </w:r>
    </w:p>
    <w:p w:rsidR="00000000" w:rsidDel="00000000" w:rsidP="00000000" w:rsidRDefault="00000000" w:rsidRPr="00000000" w14:paraId="0000002D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2E">
      <w:pPr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Durée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 : 1 semaines.</w:t>
      </w:r>
    </w:p>
    <w:p w:rsidR="00000000" w:rsidDel="00000000" w:rsidP="00000000" w:rsidRDefault="00000000" w:rsidRPr="00000000" w14:paraId="0000002F">
      <w:pPr>
        <w:spacing w:before="200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Phase 4 : Accompagnement 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jc w:val="both"/>
        <w:rPr>
          <w:rFonts w:ascii="Open Sans" w:cs="Open Sans" w:eastAsia="Open Sans" w:hAnsi="Open Sans"/>
          <w:color w:val="ff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hase obligatoire, elle doit aussi apparaître en “OFFERTE” sur le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Durée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 : Il se déroule sur toute la durée de l’étude.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23.0000000000001"/>
        <w:gridCol w:w="723.0000000000001"/>
        <w:gridCol w:w="723.0000000000001"/>
        <w:gridCol w:w="723.0000000000001"/>
        <w:gridCol w:w="723.0000000000001"/>
        <w:gridCol w:w="723.0000000000001"/>
        <w:gridCol w:w="723.0000000000001"/>
        <w:gridCol w:w="723.0000000000001"/>
        <w:gridCol w:w="723.0000000000001"/>
        <w:gridCol w:w="723.0000000000001"/>
        <w:tblGridChange w:id="0">
          <w:tblGrid>
            <w:gridCol w:w="1845"/>
            <w:gridCol w:w="723.0000000000001"/>
            <w:gridCol w:w="723.0000000000001"/>
            <w:gridCol w:w="723.0000000000001"/>
            <w:gridCol w:w="723.0000000000001"/>
            <w:gridCol w:w="723.0000000000001"/>
            <w:gridCol w:w="723.0000000000001"/>
            <w:gridCol w:w="723.0000000000001"/>
            <w:gridCol w:w="723.0000000000001"/>
            <w:gridCol w:w="723.0000000000001"/>
            <w:gridCol w:w="723.0000000000001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Phases \ Semaines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Phase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Phase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Phase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Phase 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Pro-tip : quand vous ajoutez/supprimez des colonnes, faites click droit &gt; répartir les colonnes pour que les colonnes aient la même 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Rule="auto"/>
        <w:jc w:val="both"/>
        <w:rPr>
          <w:rFonts w:ascii="Open Sans" w:cs="Open Sans" w:eastAsia="Open Sans" w:hAnsi="Open Sans"/>
          <w:sz w:val="20"/>
          <w:szCs w:val="20"/>
        </w:rPr>
      </w:pPr>
      <w:bookmarkStart w:colFirst="0" w:colLast="0" w:name="_26in1rg" w:id="4"/>
      <w:bookmarkEnd w:id="4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 xml:space="preserve">Les durées prévisionnelles ci-dessus sont présentées uniquement à titre indicatif. Celles-ci pourront faire l’objet de modifications au cours de la mission.</w:t>
      </w:r>
    </w:p>
    <w:p w:rsidR="00000000" w:rsidDel="00000000" w:rsidP="00000000" w:rsidRDefault="00000000" w:rsidRPr="00000000" w14:paraId="0000006C">
      <w:pPr>
        <w:spacing w:before="200" w:lineRule="auto"/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bookmarkStart w:colFirst="0" w:colLast="0" w:name="_e7r12gymsuu4" w:id="5"/>
      <w:bookmarkEnd w:id="5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 xml:space="preserve">L’étude prend fin le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{{date-fin-mission}}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sous réserve de la signature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du présent Bon de Commande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par les deux parties,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de la réception de l’acompte, et de la fourniture des éléments éventuellement stipulés dans le Cahier des Charges par le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ymvwgpr56ep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7bbzcw6vsnfi" w:id="7"/>
      <w:bookmarkEnd w:id="7"/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both"/>
        <w:rPr>
          <w:rFonts w:ascii="Open Sans" w:cs="Open Sans" w:eastAsia="Open Sans" w:hAnsi="Open Sans"/>
          <w:sz w:val="20"/>
          <w:szCs w:val="20"/>
        </w:rPr>
      </w:pPr>
      <w:bookmarkStart w:colFirst="0" w:colLast="0" w:name="_obmpxsqg99r4" w:id="8"/>
      <w:bookmarkEnd w:id="8"/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Dans Template devis, remplir et copier coller la page Devis 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Open Sans" w:cs="Open Sans" w:eastAsia="Open Sans" w:hAnsi="Open Sans"/>
          <w:sz w:val="20"/>
          <w:szCs w:val="20"/>
          <w:highlight w:val="yellow"/>
        </w:rPr>
      </w:pPr>
      <w:bookmarkStart w:colFirst="0" w:colLast="0" w:name="_8e45wdl9vian" w:id="9"/>
      <w:bookmarkEnd w:id="9"/>
      <w:r w:rsidDel="00000000" w:rsidR="00000000" w:rsidRPr="00000000">
        <w:rPr>
          <w:rtl w:val="0"/>
        </w:rPr>
        <w:t xml:space="preserve">Échéancier de paiement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00ff"/>
          <w:sz w:val="20"/>
          <w:szCs w:val="20"/>
          <w:rtl w:val="0"/>
        </w:rPr>
        <w:t xml:space="preserve">Dans Template devis, remplir et copier coller la page Échéancier de paiement 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Open Sans" w:cs="Open Sans" w:eastAsia="Open Sans" w:hAnsi="Open Sans"/>
          <w:sz w:val="20"/>
          <w:szCs w:val="20"/>
        </w:rPr>
      </w:pPr>
      <w:bookmarkStart w:colFirst="0" w:colLast="0" w:name="_tuju84qbkqi5" w:id="10"/>
      <w:bookmarkEnd w:id="10"/>
      <w:r w:rsidDel="00000000" w:rsidR="00000000" w:rsidRPr="00000000">
        <w:rPr>
          <w:rtl w:val="0"/>
        </w:rPr>
        <w:t xml:space="preserve">Durée de validité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Date d'émission 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{{date-emission-bc}}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Date de validité : 5 jours ouvrables après la date d'émission, comme précisé à l’article 3 de la Convention Cadre.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spacing w:after="600" w:before="20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600" w:before="20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Document comportant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pages, fait à Paris en deux exemplaires,</w:t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527.08984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Pour Junior 42Paris,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{{prenom-nom-president-junior}}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{{fonction-president-junior}}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Pour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{{raison-sociale-client}}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{{prenom-nom-client}}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{{fonction-client}}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088.5039370078741" w:top="708.6614173228347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line="240" w:lineRule="auto"/>
      <w:jc w:val="center"/>
      <w:rPr>
        <w:rFonts w:ascii="Open Sans" w:cs="Open Sans" w:eastAsia="Open Sans" w:hAnsi="Open Sans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spacing w:line="240" w:lineRule="auto"/>
      <w:jc w:val="center"/>
      <w:rPr>
        <w:rFonts w:ascii="Open Sans" w:cs="Open Sans" w:eastAsia="Open Sans" w:hAnsi="Open Sans"/>
        <w:sz w:val="18"/>
        <w:szCs w:val="18"/>
        <w:highlight w:val="yellow"/>
      </w:rPr>
    </w:pPr>
    <w:r w:rsidDel="00000000" w:rsidR="00000000" w:rsidRPr="00000000">
      <w:rPr>
        <w:rFonts w:ascii="Open Sans" w:cs="Open Sans" w:eastAsia="Open Sans" w:hAnsi="Open Sans"/>
        <w:sz w:val="12"/>
        <w:szCs w:val="12"/>
      </w:rPr>
      <mc:AlternateContent>
        <mc:Choice Requires="wpg">
          <w:drawing>
            <wp:inline distB="114300" distT="114300" distL="114300" distR="114300">
              <wp:extent cx="3000375" cy="1905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107250" y="613650"/>
                        <a:ext cx="2980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0375" cy="1905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190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3"/>
      <w:tblW w:w="9977.952755905513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4.7244094488187"/>
      <w:gridCol w:w="3968.5039370078744"/>
      <w:gridCol w:w="3004.7244094488187"/>
      <w:tblGridChange w:id="0">
        <w:tblGrid>
          <w:gridCol w:w="3004.7244094488187"/>
          <w:gridCol w:w="3968.5039370078744"/>
          <w:gridCol w:w="3004.724409448818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widowControl w:val="0"/>
            <w:spacing w:line="240" w:lineRule="auto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highlight w:val="yellow"/>
              <w:rtl w:val="0"/>
            </w:rPr>
            <w:t xml:space="preserve">{{ref-bc}}</w:t>
          </w:r>
        </w:p>
        <w:p w:rsidR="00000000" w:rsidDel="00000000" w:rsidP="00000000" w:rsidRDefault="00000000" w:rsidRPr="00000000" w14:paraId="00000082">
          <w:pPr>
            <w:widowControl w:val="0"/>
            <w:spacing w:line="240" w:lineRule="auto"/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v220517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widowControl w:val="0"/>
            <w:spacing w:line="240" w:lineRule="auto"/>
            <w:jc w:val="center"/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Tous droits de reproduction réservés</w:t>
          </w:r>
        </w:p>
        <w:p w:rsidR="00000000" w:rsidDel="00000000" w:rsidP="00000000" w:rsidRDefault="00000000" w:rsidRPr="00000000" w14:paraId="00000084">
          <w:pPr>
            <w:widowControl w:val="0"/>
            <w:spacing w:line="240" w:lineRule="auto"/>
            <w:jc w:val="center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© Junior 42 Paris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widowControl w:val="0"/>
            <w:spacing w:line="240" w:lineRule="auto"/>
            <w:jc w:val="right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 Page </w:t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 / </w:t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spacing w:line="240" w:lineRule="auto"/>
      <w:rPr>
        <w:rFonts w:ascii="Open Sans" w:cs="Open Sans" w:eastAsia="Open Sans" w:hAnsi="Open Sans"/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/</w:t>
    </w:r>
    <w:r w:rsidDel="00000000" w:rsidR="00000000" w:rsidRPr="00000000">
      <w:rPr>
        <w:rFonts w:ascii="Open Sans" w:cs="Open Sans" w:eastAsia="Open Sans" w:hAnsi="Open Sans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spacing w:line="24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12"/>
        <w:szCs w:val="12"/>
      </w:rPr>
      <mc:AlternateContent>
        <mc:Choice Requires="wpg">
          <w:drawing>
            <wp:inline distB="114300" distT="114300" distL="114300" distR="114300">
              <wp:extent cx="3000375" cy="1905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107250" y="613650"/>
                        <a:ext cx="2980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0375" cy="1905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190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b w:val="1"/>
        <w:sz w:val="18"/>
        <w:szCs w:val="18"/>
        <w:rtl w:val="0"/>
      </w:rPr>
      <w:t xml:space="preserve">Junior 42Paris</w:t>
    </w: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 – Association d’étudiants à caractère pédagogique, régie par la loi du 1er juillet 1901</w:t>
    </w:r>
  </w:p>
  <w:p w:rsidR="00000000" w:rsidDel="00000000" w:rsidP="00000000" w:rsidRDefault="00000000" w:rsidRPr="00000000" w14:paraId="0000008B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Junior-Initiative de 42 Paris – Membre de la Confédération Nationale des Junior-Entreprises</w:t>
    </w:r>
  </w:p>
  <w:p w:rsidR="00000000" w:rsidDel="00000000" w:rsidP="00000000" w:rsidRDefault="00000000" w:rsidRPr="00000000" w14:paraId="0000008C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96 boulevard Bessières, 75017 Paris</w:t>
    </w:r>
  </w:p>
  <w:p w:rsidR="00000000" w:rsidDel="00000000" w:rsidP="00000000" w:rsidRDefault="00000000" w:rsidRPr="00000000" w14:paraId="0000008D">
    <w:pPr>
      <w:spacing w:line="240" w:lineRule="auto"/>
      <w:jc w:val="center"/>
      <w:rPr>
        <w:rFonts w:ascii="Open Sans" w:cs="Open Sans" w:eastAsia="Open Sans" w:hAnsi="Open Sans"/>
        <w:color w:val="222222"/>
        <w:sz w:val="18"/>
        <w:szCs w:val="18"/>
      </w:rPr>
    </w:pPr>
    <w:hyperlink r:id="rId2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contact@paris.junior42.com</w:t>
      </w:r>
    </w:hyperlink>
    <w:r w:rsidDel="00000000" w:rsidR="00000000" w:rsidRPr="00000000">
      <w:rPr>
        <w:rFonts w:ascii="Open Sans" w:cs="Open Sans" w:eastAsia="Open Sans" w:hAnsi="Open Sans"/>
        <w:color w:val="222222"/>
        <w:sz w:val="18"/>
        <w:szCs w:val="18"/>
        <w:rtl w:val="0"/>
      </w:rPr>
      <w:t xml:space="preserve"> – </w:t>
    </w:r>
    <w:hyperlink r:id="rId3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paris.junior42.com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spacing w:line="240" w:lineRule="auto"/>
      <w:jc w:val="center"/>
      <w:rPr>
        <w:rFonts w:ascii="Open Sans" w:cs="Open Sans" w:eastAsia="Open Sans" w:hAnsi="Open Sans"/>
        <w:highlight w:val="yellow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NºSIRET : 88355519500014 – Code APE : 7112B – Nº de TVA intracommunautaire : FR44 883 555 195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line="240" w:lineRule="auto"/>
      <w:jc w:val="center"/>
      <w:rPr>
        <w:rFonts w:ascii="Oswald" w:cs="Oswald" w:eastAsia="Oswald" w:hAnsi="Oswald"/>
        <w:color w:val="4a86e8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line="240" w:lineRule="auto"/>
      <w:jc w:val="right"/>
      <w:rPr>
        <w:rFonts w:ascii="Open Sans" w:cs="Open Sans" w:eastAsia="Open Sans" w:hAnsi="Open Sans"/>
        <w:b w:val="1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b w:val="1"/>
        <w:sz w:val="18"/>
        <w:szCs w:val="18"/>
        <w:rtl w:val="0"/>
      </w:rPr>
      <w:t xml:space="preserve">Junior 42Paris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315875</wp:posOffset>
          </wp:positionH>
          <wp:positionV relativeFrom="paragraph">
            <wp:posOffset>9319</wp:posOffset>
          </wp:positionV>
          <wp:extent cx="1426509" cy="4826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6509" cy="482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0">
    <w:pPr>
      <w:spacing w:line="240" w:lineRule="auto"/>
      <w:jc w:val="right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Association régie par la loi de 1901, membre de la CNJE</w:t>
    </w:r>
  </w:p>
  <w:p w:rsidR="00000000" w:rsidDel="00000000" w:rsidP="00000000" w:rsidRDefault="00000000" w:rsidRPr="00000000" w14:paraId="00000091">
    <w:pPr>
      <w:spacing w:line="240" w:lineRule="auto"/>
      <w:jc w:val="right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96 BD BESSIÈRES 75017 PARIS</w:t>
    </w:r>
  </w:p>
  <w:p w:rsidR="00000000" w:rsidDel="00000000" w:rsidP="00000000" w:rsidRDefault="00000000" w:rsidRPr="00000000" w14:paraId="00000092">
    <w:pPr>
      <w:spacing w:line="240" w:lineRule="auto"/>
      <w:jc w:val="right"/>
      <w:rPr>
        <w:rFonts w:ascii="Open Sans" w:cs="Open Sans" w:eastAsia="Open Sans" w:hAnsi="Open Sans"/>
        <w:color w:val="222222"/>
        <w:sz w:val="18"/>
        <w:szCs w:val="18"/>
        <w:u w:val="single"/>
      </w:rPr>
    </w:pPr>
    <w:hyperlink r:id="rId2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contact@paris.junior42.com</w:t>
      </w:r>
    </w:hyperlink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 – </w:t>
    </w:r>
    <w:hyperlink r:id="rId3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paris.junior42.com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spacing w:line="240" w:lineRule="auto"/>
      <w:jc w:val="center"/>
      <w:rPr>
        <w:rFonts w:ascii="Oswald" w:cs="Oswald" w:eastAsia="Oswald" w:hAnsi="Oswald"/>
        <w:color w:val="4a86e8"/>
        <w:sz w:val="20"/>
        <w:szCs w:val="20"/>
      </w:rPr>
    </w:pPr>
    <w:r w:rsidDel="00000000" w:rsidR="00000000" w:rsidRPr="00000000">
      <w:rPr>
        <w:rFonts w:ascii="Oswald" w:cs="Oswald" w:eastAsia="Oswald" w:hAnsi="Oswald"/>
        <w:color w:val="4a86e8"/>
        <w:sz w:val="20"/>
        <w:szCs w:val="20"/>
      </w:rPr>
      <mc:AlternateContent>
        <mc:Choice Requires="wpg">
          <w:drawing>
            <wp:inline distB="114300" distT="114300" distL="114300" distR="114300">
              <wp:extent cx="5731200" cy="180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574800" y="2016300"/>
                        <a:ext cx="49872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180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8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spacing w:line="240" w:lineRule="auto"/>
      <w:jc w:val="center"/>
      <w:rPr>
        <w:rFonts w:ascii="Oswald" w:cs="Oswald" w:eastAsia="Oswald" w:hAnsi="Oswald"/>
        <w:color w:val="4a86e8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  <w:jc w:val="center"/>
    </w:pPr>
    <w:rPr>
      <w:rFonts w:ascii="Oswald" w:cs="Oswald" w:eastAsia="Oswald" w:hAnsi="Oswald"/>
      <w:color w:val="0661a9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Open Sans" w:cs="Open Sans" w:eastAsia="Open Sans" w:hAnsi="Open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contact@paris.junior42.com" TargetMode="External"/><Relationship Id="rId3" Type="http://schemas.openxmlformats.org/officeDocument/2006/relationships/hyperlink" Target="https://paris.junior42.com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ontact@paris.junior42.com" TargetMode="External"/><Relationship Id="rId3" Type="http://schemas.openxmlformats.org/officeDocument/2006/relationships/hyperlink" Target="https://paris.junior42.com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