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Trabalho de Conclusão de Curso apresentado</w:t>
      </w:r>
    </w:p>
    <w:p w:rsidR="000C2782" w:rsidRPr="003A4BBC" w:rsidRDefault="00385B79" w:rsidP="008B1EED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id w:val="2126579265"/>
        <w:docPartObj>
          <w:docPartGallery w:val="Table of Contents"/>
          <w:docPartUnique/>
        </w:docPartObj>
      </w:sdtPr>
      <w:sdtEndPr>
        <w:rPr>
          <w:rFonts w:ascii="Arial" w:eastAsia="Noto Serif CJK SC" w:hAnsi="Arial" w:cs="Ari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Pr="00156E8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Pr="00156E8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O 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Pr="00156E8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Pr="00156E8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fldSimple w:instr=" SEQ Figura \* ARABIC ">
        <w:r w:rsidR="00C534B4">
          <w:rPr>
            <w:noProof/>
          </w:rPr>
          <w:t>1</w:t>
        </w:r>
      </w:fldSimple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 xml:space="preserve">Fonte: </w:t>
      </w:r>
      <w:r>
        <w:t>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fldSimple w:instr=" SEQ Figura \* ARABIC ">
        <w:r w:rsidR="00C534B4">
          <w:rPr>
            <w:noProof/>
          </w:rPr>
          <w:t>2</w:t>
        </w:r>
      </w:fldSimple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Pr="003A4BBC" w:rsidRDefault="00225EA9" w:rsidP="00225EA9">
      <w:pPr>
        <w:ind w:firstLine="0"/>
        <w:jc w:val="center"/>
      </w:pPr>
    </w:p>
    <w:p w:rsidR="000C2782" w:rsidRPr="00C534B4" w:rsidRDefault="00385B79" w:rsidP="00C534B4">
      <w:pPr>
        <w:pStyle w:val="Ttulo1"/>
      </w:pPr>
      <w:bookmarkStart w:id="7" w:name="_Toc147655302"/>
      <w:r w:rsidRPr="00C534B4">
        <w:lastRenderedPageBreak/>
        <w:t>Tratamento de Dados</w:t>
      </w:r>
      <w:bookmarkEnd w:id="7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0C2782" w:rsidRDefault="00385B79" w:rsidP="008B1EED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Pr="003A4BBC">
        <w:t xml:space="preserve"> 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C534B4" w:rsidRDefault="00C534B4" w:rsidP="008B1EED"/>
    <w:p w:rsidR="00C534B4" w:rsidRDefault="00C534B4" w:rsidP="00C534B4">
      <w:pPr>
        <w:pStyle w:val="LegendaTCC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667694" cy="64711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07" cy="6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B4" w:rsidRDefault="00C534B4" w:rsidP="00C534B4">
      <w:pPr>
        <w:pStyle w:val="LegendaTCC"/>
      </w:pPr>
      <w:r>
        <w:t>Fonte: Autoria própria</w:t>
      </w:r>
    </w:p>
    <w:p w:rsidR="00C534B4" w:rsidRDefault="00C534B4" w:rsidP="00C534B4"/>
    <w:p w:rsidR="00C534B4" w:rsidRPr="005E39F7" w:rsidRDefault="005E39F7" w:rsidP="008B1EED">
      <w:r>
        <w:t xml:space="preserve">Foi utilizado para a leitura dos dados, uma função própria do </w:t>
      </w:r>
      <w:r w:rsidRPr="005E39F7">
        <w:rPr>
          <w:i/>
        </w:rPr>
        <w:t>pandas</w:t>
      </w:r>
      <w:r>
        <w:t xml:space="preserve">, a </w:t>
      </w:r>
      <w:r w:rsidRPr="005E39F7">
        <w:rPr>
          <w:i/>
        </w:rPr>
        <w:t>pd.read_cs</w:t>
      </w:r>
      <w:r>
        <w:rPr>
          <w:i/>
        </w:rPr>
        <w:t>v</w:t>
      </w:r>
      <w:r>
        <w:t xml:space="preserve"> (), através dela, é possível ler um arquivo </w:t>
      </w:r>
      <w:r w:rsidRPr="005E39F7">
        <w:rPr>
          <w:i/>
        </w:rPr>
        <w:t>csv</w:t>
      </w:r>
      <w:r>
        <w:t xml:space="preserve"> e já transforma-lo em um </w:t>
      </w:r>
      <w:r w:rsidRPr="005E39F7">
        <w:rPr>
          <w:i/>
        </w:rPr>
        <w:t>dataframe</w:t>
      </w:r>
      <w:r>
        <w:t xml:space="preserve"> que nada mais é do que uma estrutura </w:t>
      </w:r>
      <w:r w:rsidR="00C30214">
        <w:t xml:space="preserve">de dados </w:t>
      </w:r>
      <w:r>
        <w:t>composta por duas dimensões: linhas e colunas</w:t>
      </w:r>
      <w:r w:rsidR="00C30214">
        <w:t>, similar a uma planilha</w:t>
      </w:r>
      <w:r w:rsidR="00307154">
        <w:t>.</w:t>
      </w:r>
      <w:bookmarkStart w:id="8" w:name="_GoBack"/>
      <w:bookmarkEnd w:id="8"/>
    </w:p>
    <w:p w:rsidR="000C2782" w:rsidRPr="003A4BBC" w:rsidRDefault="00385B79" w:rsidP="008B1EED">
      <w:pPr>
        <w:pStyle w:val="Corpodetexto"/>
      </w:pPr>
      <w:r w:rsidRPr="003A4BBC"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9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7F88"/>
    <w:rsid w:val="000C2782"/>
    <w:rsid w:val="000D0F9E"/>
    <w:rsid w:val="00225EA9"/>
    <w:rsid w:val="00307154"/>
    <w:rsid w:val="00364135"/>
    <w:rsid w:val="00385B79"/>
    <w:rsid w:val="003A4BBC"/>
    <w:rsid w:val="00481AE2"/>
    <w:rsid w:val="00541988"/>
    <w:rsid w:val="005E39F7"/>
    <w:rsid w:val="00714BE8"/>
    <w:rsid w:val="008B1EED"/>
    <w:rsid w:val="008E4C9F"/>
    <w:rsid w:val="009055A8"/>
    <w:rsid w:val="00C30214"/>
    <w:rsid w:val="00C534B4"/>
    <w:rsid w:val="00C61C98"/>
    <w:rsid w:val="00CE3B31"/>
    <w:rsid w:val="00E95341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tabricks.com/br/glossary/what-are-datafram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E"/>
    <w:rsid w:val="00184F63"/>
    <w:rsid w:val="00E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15B28365044897BFBEB857EC10293C">
    <w:name w:val="2515B28365044897BFBEB857EC10293C"/>
    <w:rsid w:val="00EA712E"/>
  </w:style>
  <w:style w:type="paragraph" w:customStyle="1" w:styleId="D1368AADC8E743AEA07B5C2F0978CBCB">
    <w:name w:val="D1368AADC8E743AEA07B5C2F0978CBCB"/>
    <w:rsid w:val="00EA712E"/>
  </w:style>
  <w:style w:type="paragraph" w:customStyle="1" w:styleId="537E0E1129FF4DEFB9DA8FFC0350ACAC">
    <w:name w:val="537E0E1129FF4DEFB9DA8FFC0350ACAC"/>
    <w:rsid w:val="00EA7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AF4D8-3EE6-413C-B186-C93309ED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8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19</cp:revision>
  <dcterms:created xsi:type="dcterms:W3CDTF">2023-09-21T19:48:00Z</dcterms:created>
  <dcterms:modified xsi:type="dcterms:W3CDTF">2023-10-08T16:35:00Z</dcterms:modified>
  <dc:language>pt-BR</dc:language>
</cp:coreProperties>
</file>