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Figure 3 模型性能对比分析报告</w:t>
      </w:r>
    </w:p>
    <w:p>
      <w:pPr>
        <w:jc w:val="center"/>
      </w:pPr>
      <w:r>
        <w:t>生成日期：2026年5月22日</w:t>
      </w:r>
    </w:p>
    <w:p>
      <w:pPr>
        <w:jc w:val="center"/>
      </w:pPr>
      <w:r>
        <w:t>对应图表：outputs/figures/Figure_3_Model_Comparison.png</w:t>
      </w:r>
    </w:p>
    <w:p/>
    <w:p>
      <w:pPr>
        <w:pStyle w:val="Heading1"/>
      </w:pPr>
      <w:r>
        <w:t>1. 图表概述</w:t>
      </w:r>
    </w:p>
    <w:p>
      <w:r>
        <w:t>Figure 3 为双面板横向柱状图，左面板展示9个模型的确定系数 R²（mean ± std），右面板展示均方根误差 RMSE（mg/g, mean ± std）。模型按 R² 降序排列，以4种颜色区分模型类别：基础模型（深红）、树集成（绿）、核方法（橙）、线性基线（蓝）。背景以淡蓝/淡绿分区标示线性基线与非线性模型区域。所有指标来自嵌套交叉验证（StratifiedKFold 外层5折 × 内层3折，Optuna TPE n_trials=100），反映了模型的泛化性能而非训练集拟合度。</w:t>
      </w:r>
    </w:p>
    <w:p>
      <w:pPr>
        <w:pStyle w:val="Heading1"/>
      </w:pPr>
      <w:r>
        <w:t>2. 完整性能数据</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eastAsia="宋体"/>
                <w:rFonts w:ascii="Times New Roman" w:hAnsi="Times New Roman"/>
                <w:b/>
                <w:sz w:val="18"/>
              </w:rPr>
              <w:t>排名</w:t>
            </w:r>
          </w:p>
        </w:tc>
        <w:tc>
          <w:tcPr>
            <w:tcW w:type="dxa" w:w="864"/>
          </w:tcPr>
          <w:p>
            <w:pPr>
              <w:jc w:val="center"/>
            </w:pPr>
            <w:r/>
            <w:r>
              <w:rPr>
                <w:rFonts w:eastAsia="宋体"/>
                <w:rFonts w:ascii="Times New Roman" w:hAnsi="Times New Roman"/>
                <w:b/>
                <w:sz w:val="18"/>
              </w:rPr>
              <w:t>模型</w:t>
            </w:r>
          </w:p>
        </w:tc>
        <w:tc>
          <w:tcPr>
            <w:tcW w:type="dxa" w:w="864"/>
          </w:tcPr>
          <w:p>
            <w:pPr>
              <w:jc w:val="center"/>
            </w:pPr>
            <w:r/>
            <w:r>
              <w:rPr>
                <w:rFonts w:eastAsia="宋体"/>
                <w:rFonts w:ascii="Times New Roman" w:hAnsi="Times New Roman"/>
                <w:b/>
                <w:sz w:val="18"/>
              </w:rPr>
              <w:t>管道</w:t>
            </w:r>
          </w:p>
        </w:tc>
        <w:tc>
          <w:tcPr>
            <w:tcW w:type="dxa" w:w="864"/>
          </w:tcPr>
          <w:p>
            <w:pPr>
              <w:jc w:val="center"/>
            </w:pPr>
            <w:r/>
            <w:r>
              <w:rPr>
                <w:rFonts w:eastAsia="宋体"/>
                <w:rFonts w:ascii="Times New Roman" w:hAnsi="Times New Roman"/>
                <w:b/>
                <w:sz w:val="18"/>
              </w:rPr>
              <w:t>类别</w:t>
            </w:r>
          </w:p>
        </w:tc>
        <w:tc>
          <w:tcPr>
            <w:tcW w:type="dxa" w:w="864"/>
          </w:tcPr>
          <w:p>
            <w:pPr>
              <w:jc w:val="center"/>
            </w:pPr>
            <w:r/>
            <w:r>
              <w:rPr>
                <w:rFonts w:eastAsia="宋体"/>
                <w:rFonts w:ascii="Times New Roman" w:hAnsi="Times New Roman"/>
                <w:b/>
                <w:sz w:val="18"/>
              </w:rPr>
              <w:t>R²</w:t>
            </w:r>
          </w:p>
        </w:tc>
        <w:tc>
          <w:tcPr>
            <w:tcW w:type="dxa" w:w="864"/>
          </w:tcPr>
          <w:p>
            <w:pPr>
              <w:jc w:val="center"/>
            </w:pPr>
            <w:r/>
            <w:r>
              <w:rPr>
                <w:rFonts w:eastAsia="宋体"/>
                <w:rFonts w:ascii="Times New Roman" w:hAnsi="Times New Roman"/>
                <w:b/>
                <w:sz w:val="18"/>
              </w:rPr>
              <w:t>R²_std</w:t>
            </w:r>
          </w:p>
        </w:tc>
        <w:tc>
          <w:tcPr>
            <w:tcW w:type="dxa" w:w="864"/>
          </w:tcPr>
          <w:p>
            <w:pPr>
              <w:jc w:val="center"/>
            </w:pPr>
            <w:r/>
            <w:r>
              <w:rPr>
                <w:rFonts w:eastAsia="宋体"/>
                <w:rFonts w:ascii="Times New Roman" w:hAnsi="Times New Roman"/>
                <w:b/>
                <w:sz w:val="18"/>
              </w:rPr>
              <w:t>RMSE</w:t>
            </w:r>
          </w:p>
        </w:tc>
        <w:tc>
          <w:tcPr>
            <w:tcW w:type="dxa" w:w="864"/>
          </w:tcPr>
          <w:p>
            <w:pPr>
              <w:jc w:val="center"/>
            </w:pPr>
            <w:r/>
            <w:r>
              <w:rPr>
                <w:rFonts w:eastAsia="宋体"/>
                <w:rFonts w:ascii="Times New Roman" w:hAnsi="Times New Roman"/>
                <w:b/>
                <w:sz w:val="18"/>
              </w:rPr>
              <w:t>RMSE_std</w:t>
            </w:r>
          </w:p>
        </w:tc>
        <w:tc>
          <w:tcPr>
            <w:tcW w:type="dxa" w:w="864"/>
          </w:tcPr>
          <w:p>
            <w:pPr>
              <w:jc w:val="center"/>
            </w:pPr>
            <w:r/>
            <w:r>
              <w:rPr>
                <w:rFonts w:eastAsia="宋体"/>
                <w:rFonts w:ascii="Times New Roman" w:hAnsi="Times New Roman"/>
                <w:b/>
                <w:sz w:val="18"/>
              </w:rPr>
              <w:t>MAE</w:t>
            </w:r>
          </w:p>
        </w:tc>
        <w:tc>
          <w:tcPr>
            <w:tcW w:type="dxa" w:w="864"/>
          </w:tcPr>
          <w:p>
            <w:pPr>
              <w:jc w:val="center"/>
            </w:pPr>
            <w:r/>
            <w:r>
              <w:rPr>
                <w:rFonts w:eastAsia="宋体"/>
                <w:rFonts w:ascii="Times New Roman" w:hAnsi="Times New Roman"/>
                <w:b/>
                <w:sz w:val="18"/>
              </w:rPr>
              <w:t>MAPE%</w:t>
            </w:r>
          </w:p>
        </w:tc>
      </w:tr>
      <w:tr>
        <w:tc>
          <w:tcPr>
            <w:tcW w:type="dxa" w:w="864"/>
          </w:tcPr>
          <w:p>
            <w:pPr>
              <w:jc w:val="center"/>
            </w:pPr>
            <w:r/>
            <w:r>
              <w:rPr>
                <w:rFonts w:eastAsia="宋体"/>
                <w:rFonts w:ascii="Times New Roman" w:hAnsi="Times New Roman"/>
                <w:b/>
                <w:sz w:val="18"/>
              </w:rPr>
              <w:t>1</w:t>
            </w:r>
          </w:p>
        </w:tc>
        <w:tc>
          <w:tcPr>
            <w:tcW w:type="dxa" w:w="864"/>
          </w:tcPr>
          <w:p>
            <w:pPr>
              <w:jc w:val="center"/>
            </w:pPr>
            <w:r/>
            <w:r>
              <w:rPr>
                <w:rFonts w:eastAsia="宋体"/>
                <w:rFonts w:ascii="Times New Roman" w:hAnsi="Times New Roman"/>
                <w:b w:val="0"/>
                <w:sz w:val="18"/>
              </w:rPr>
              <w:t>TabPFN</w:t>
            </w:r>
          </w:p>
        </w:tc>
        <w:tc>
          <w:tcPr>
            <w:tcW w:type="dxa" w:w="864"/>
          </w:tcPr>
          <w:p>
            <w:pPr>
              <w:jc w:val="center"/>
            </w:pPr>
            <w:r/>
            <w:r>
              <w:rPr>
                <w:rFonts w:eastAsia="宋体"/>
                <w:rFonts w:ascii="Times New Roman" w:hAnsi="Times New Roman"/>
                <w:b w:val="0"/>
                <w:sz w:val="18"/>
              </w:rPr>
              <w:t>D</w:t>
            </w:r>
          </w:p>
        </w:tc>
        <w:tc>
          <w:tcPr>
            <w:tcW w:type="dxa" w:w="864"/>
          </w:tcPr>
          <w:p>
            <w:pPr>
              <w:jc w:val="center"/>
            </w:pPr>
            <w:r/>
            <w:r>
              <w:rPr>
                <w:rFonts w:eastAsia="宋体"/>
                <w:rFonts w:ascii="Times New Roman" w:hAnsi="Times New Roman"/>
                <w:b w:val="0"/>
                <w:sz w:val="18"/>
              </w:rPr>
              <w:t>基础模型</w:t>
            </w:r>
          </w:p>
        </w:tc>
        <w:tc>
          <w:tcPr>
            <w:tcW w:type="dxa" w:w="864"/>
          </w:tcPr>
          <w:p>
            <w:pPr>
              <w:jc w:val="center"/>
            </w:pPr>
            <w:r/>
            <w:r>
              <w:rPr>
                <w:rFonts w:eastAsia="宋体"/>
                <w:rFonts w:ascii="Times New Roman" w:hAnsi="Times New Roman"/>
                <w:b w:val="0"/>
                <w:sz w:val="18"/>
              </w:rPr>
              <w:t>0.9692</w:t>
            </w:r>
          </w:p>
        </w:tc>
        <w:tc>
          <w:tcPr>
            <w:tcW w:type="dxa" w:w="864"/>
          </w:tcPr>
          <w:p>
            <w:pPr>
              <w:jc w:val="center"/>
            </w:pPr>
            <w:r/>
            <w:r>
              <w:rPr>
                <w:rFonts w:eastAsia="宋体"/>
                <w:rFonts w:ascii="Times New Roman" w:hAnsi="Times New Roman"/>
                <w:b w:val="0"/>
                <w:sz w:val="18"/>
              </w:rPr>
              <w:t>0.0103</w:t>
            </w:r>
          </w:p>
        </w:tc>
        <w:tc>
          <w:tcPr>
            <w:tcW w:type="dxa" w:w="864"/>
          </w:tcPr>
          <w:p>
            <w:pPr>
              <w:jc w:val="center"/>
            </w:pPr>
            <w:r/>
            <w:r>
              <w:rPr>
                <w:rFonts w:eastAsia="宋体"/>
                <w:rFonts w:ascii="Times New Roman" w:hAnsi="Times New Roman"/>
                <w:b w:val="0"/>
                <w:sz w:val="18"/>
              </w:rPr>
              <w:t>10.7</w:t>
            </w:r>
          </w:p>
        </w:tc>
        <w:tc>
          <w:tcPr>
            <w:tcW w:type="dxa" w:w="864"/>
          </w:tcPr>
          <w:p>
            <w:pPr>
              <w:jc w:val="center"/>
            </w:pPr>
            <w:r/>
            <w:r>
              <w:rPr>
                <w:rFonts w:eastAsia="宋体"/>
                <w:rFonts w:ascii="Times New Roman" w:hAnsi="Times New Roman"/>
                <w:b w:val="0"/>
                <w:sz w:val="18"/>
              </w:rPr>
              <w:t>2.3</w:t>
            </w:r>
          </w:p>
        </w:tc>
        <w:tc>
          <w:tcPr>
            <w:tcW w:type="dxa" w:w="864"/>
          </w:tcPr>
          <w:p>
            <w:pPr>
              <w:jc w:val="center"/>
            </w:pPr>
            <w:r/>
            <w:r>
              <w:rPr>
                <w:rFonts w:eastAsia="宋体"/>
                <w:rFonts w:ascii="Times New Roman" w:hAnsi="Times New Roman"/>
                <w:b w:val="0"/>
                <w:sz w:val="18"/>
              </w:rPr>
              <w:t>4.1</w:t>
            </w:r>
          </w:p>
        </w:tc>
        <w:tc>
          <w:tcPr>
            <w:tcW w:type="dxa" w:w="864"/>
          </w:tcPr>
          <w:p>
            <w:pPr>
              <w:jc w:val="center"/>
            </w:pPr>
            <w:r/>
            <w:r>
              <w:rPr>
                <w:rFonts w:eastAsia="宋体"/>
                <w:rFonts w:ascii="Times New Roman" w:hAnsi="Times New Roman"/>
                <w:b w:val="0"/>
                <w:sz w:val="18"/>
              </w:rPr>
              <w:t>8.0</w:t>
            </w:r>
          </w:p>
        </w:tc>
      </w:tr>
      <w:tr>
        <w:tc>
          <w:tcPr>
            <w:tcW w:type="dxa" w:w="864"/>
          </w:tcPr>
          <w:p>
            <w:pPr>
              <w:jc w:val="center"/>
            </w:pPr>
            <w:r/>
            <w:r>
              <w:rPr>
                <w:rFonts w:eastAsia="宋体"/>
                <w:rFonts w:ascii="Times New Roman" w:hAnsi="Times New Roman"/>
                <w:b/>
                <w:sz w:val="18"/>
              </w:rPr>
              <w:t>2</w:t>
            </w:r>
          </w:p>
        </w:tc>
        <w:tc>
          <w:tcPr>
            <w:tcW w:type="dxa" w:w="864"/>
          </w:tcPr>
          <w:p>
            <w:pPr>
              <w:jc w:val="center"/>
            </w:pPr>
            <w:r/>
            <w:r>
              <w:rPr>
                <w:rFonts w:eastAsia="宋体"/>
                <w:rFonts w:ascii="Times New Roman" w:hAnsi="Times New Roman"/>
                <w:b w:val="0"/>
                <w:sz w:val="18"/>
              </w:rPr>
              <w:t>GBDT</w:t>
            </w:r>
          </w:p>
        </w:tc>
        <w:tc>
          <w:tcPr>
            <w:tcW w:type="dxa" w:w="864"/>
          </w:tcPr>
          <w:p>
            <w:pPr>
              <w:jc w:val="center"/>
            </w:pPr>
            <w:r/>
            <w:r>
              <w:rPr>
                <w:rFonts w:eastAsia="宋体"/>
                <w:rFonts w:ascii="Times New Roman" w:hAnsi="Times New Roman"/>
                <w:b w:val="0"/>
                <w:sz w:val="18"/>
              </w:rPr>
              <w:t>B</w:t>
            </w:r>
          </w:p>
        </w:tc>
        <w:tc>
          <w:tcPr>
            <w:tcW w:type="dxa" w:w="864"/>
          </w:tcPr>
          <w:p>
            <w:pPr>
              <w:jc w:val="center"/>
            </w:pPr>
            <w:r/>
            <w:r>
              <w:rPr>
                <w:rFonts w:eastAsia="宋体"/>
                <w:rFonts w:ascii="Times New Roman" w:hAnsi="Times New Roman"/>
                <w:b w:val="0"/>
                <w:sz w:val="18"/>
              </w:rPr>
              <w:t>树集成</w:t>
            </w:r>
          </w:p>
        </w:tc>
        <w:tc>
          <w:tcPr>
            <w:tcW w:type="dxa" w:w="864"/>
          </w:tcPr>
          <w:p>
            <w:pPr>
              <w:jc w:val="center"/>
            </w:pPr>
            <w:r/>
            <w:r>
              <w:rPr>
                <w:rFonts w:eastAsia="宋体"/>
                <w:rFonts w:ascii="Times New Roman" w:hAnsi="Times New Roman"/>
                <w:b w:val="0"/>
                <w:sz w:val="18"/>
              </w:rPr>
              <w:t>0.9528</w:t>
            </w:r>
          </w:p>
        </w:tc>
        <w:tc>
          <w:tcPr>
            <w:tcW w:type="dxa" w:w="864"/>
          </w:tcPr>
          <w:p>
            <w:pPr>
              <w:jc w:val="center"/>
            </w:pPr>
            <w:r/>
            <w:r>
              <w:rPr>
                <w:rFonts w:eastAsia="宋体"/>
                <w:rFonts w:ascii="Times New Roman" w:hAnsi="Times New Roman"/>
                <w:b w:val="0"/>
                <w:sz w:val="18"/>
              </w:rPr>
              <w:t>0.0138</w:t>
            </w:r>
          </w:p>
        </w:tc>
        <w:tc>
          <w:tcPr>
            <w:tcW w:type="dxa" w:w="864"/>
          </w:tcPr>
          <w:p>
            <w:pPr>
              <w:jc w:val="center"/>
            </w:pPr>
            <w:r/>
            <w:r>
              <w:rPr>
                <w:rFonts w:eastAsia="宋体"/>
                <w:rFonts w:ascii="Times New Roman" w:hAnsi="Times New Roman"/>
                <w:b w:val="0"/>
                <w:sz w:val="18"/>
              </w:rPr>
              <w:t>13.3</w:t>
            </w:r>
          </w:p>
        </w:tc>
        <w:tc>
          <w:tcPr>
            <w:tcW w:type="dxa" w:w="864"/>
          </w:tcPr>
          <w:p>
            <w:pPr>
              <w:jc w:val="center"/>
            </w:pPr>
            <w:r/>
            <w:r>
              <w:rPr>
                <w:rFonts w:eastAsia="宋体"/>
                <w:rFonts w:ascii="Times New Roman" w:hAnsi="Times New Roman"/>
                <w:b w:val="0"/>
                <w:sz w:val="18"/>
              </w:rPr>
              <w:t>1.9</w:t>
            </w:r>
          </w:p>
        </w:tc>
        <w:tc>
          <w:tcPr>
            <w:tcW w:type="dxa" w:w="864"/>
          </w:tcPr>
          <w:p>
            <w:pPr>
              <w:jc w:val="center"/>
            </w:pPr>
            <w:r/>
            <w:r>
              <w:rPr>
                <w:rFonts w:eastAsia="宋体"/>
                <w:rFonts w:ascii="Times New Roman" w:hAnsi="Times New Roman"/>
                <w:b w:val="0"/>
                <w:sz w:val="18"/>
              </w:rPr>
              <w:t>7.3</w:t>
            </w:r>
          </w:p>
        </w:tc>
        <w:tc>
          <w:tcPr>
            <w:tcW w:type="dxa" w:w="864"/>
          </w:tcPr>
          <w:p>
            <w:pPr>
              <w:jc w:val="center"/>
            </w:pPr>
            <w:r/>
            <w:r>
              <w:rPr>
                <w:rFonts w:eastAsia="宋体"/>
                <w:rFonts w:ascii="Times New Roman" w:hAnsi="Times New Roman"/>
                <w:b w:val="0"/>
                <w:sz w:val="18"/>
              </w:rPr>
              <w:t>16.9</w:t>
            </w:r>
          </w:p>
        </w:tc>
      </w:tr>
      <w:tr>
        <w:tc>
          <w:tcPr>
            <w:tcW w:type="dxa" w:w="864"/>
          </w:tcPr>
          <w:p>
            <w:pPr>
              <w:jc w:val="center"/>
            </w:pPr>
            <w:r/>
            <w:r>
              <w:rPr>
                <w:rFonts w:eastAsia="宋体"/>
                <w:rFonts w:ascii="Times New Roman" w:hAnsi="Times New Roman"/>
                <w:b/>
                <w:sz w:val="18"/>
              </w:rPr>
              <w:t>3</w:t>
            </w:r>
          </w:p>
        </w:tc>
        <w:tc>
          <w:tcPr>
            <w:tcW w:type="dxa" w:w="864"/>
          </w:tcPr>
          <w:p>
            <w:pPr>
              <w:jc w:val="center"/>
            </w:pPr>
            <w:r/>
            <w:r>
              <w:rPr>
                <w:rFonts w:eastAsia="宋体"/>
                <w:rFonts w:ascii="Times New Roman" w:hAnsi="Times New Roman"/>
                <w:b w:val="0"/>
                <w:sz w:val="18"/>
              </w:rPr>
              <w:t>RF</w:t>
            </w:r>
          </w:p>
        </w:tc>
        <w:tc>
          <w:tcPr>
            <w:tcW w:type="dxa" w:w="864"/>
          </w:tcPr>
          <w:p>
            <w:pPr>
              <w:jc w:val="center"/>
            </w:pPr>
            <w:r/>
            <w:r>
              <w:rPr>
                <w:rFonts w:eastAsia="宋体"/>
                <w:rFonts w:ascii="Times New Roman" w:hAnsi="Times New Roman"/>
                <w:b w:val="0"/>
                <w:sz w:val="18"/>
              </w:rPr>
              <w:t>B</w:t>
            </w:r>
          </w:p>
        </w:tc>
        <w:tc>
          <w:tcPr>
            <w:tcW w:type="dxa" w:w="864"/>
          </w:tcPr>
          <w:p>
            <w:pPr>
              <w:jc w:val="center"/>
            </w:pPr>
            <w:r/>
            <w:r>
              <w:rPr>
                <w:rFonts w:eastAsia="宋体"/>
                <w:rFonts w:ascii="Times New Roman" w:hAnsi="Times New Roman"/>
                <w:b w:val="0"/>
                <w:sz w:val="18"/>
              </w:rPr>
              <w:t>树集成</w:t>
            </w:r>
          </w:p>
        </w:tc>
        <w:tc>
          <w:tcPr>
            <w:tcW w:type="dxa" w:w="864"/>
          </w:tcPr>
          <w:p>
            <w:pPr>
              <w:jc w:val="center"/>
            </w:pPr>
            <w:r/>
            <w:r>
              <w:rPr>
                <w:rFonts w:eastAsia="宋体"/>
                <w:rFonts w:ascii="Times New Roman" w:hAnsi="Times New Roman"/>
                <w:b w:val="0"/>
                <w:sz w:val="18"/>
              </w:rPr>
              <w:t>0.9503</w:t>
            </w:r>
          </w:p>
        </w:tc>
        <w:tc>
          <w:tcPr>
            <w:tcW w:type="dxa" w:w="864"/>
          </w:tcPr>
          <w:p>
            <w:pPr>
              <w:jc w:val="center"/>
            </w:pPr>
            <w:r/>
            <w:r>
              <w:rPr>
                <w:rFonts w:eastAsia="宋体"/>
                <w:rFonts w:ascii="Times New Roman" w:hAnsi="Times New Roman"/>
                <w:b w:val="0"/>
                <w:sz w:val="18"/>
              </w:rPr>
              <w:t>0.0120</w:t>
            </w:r>
          </w:p>
        </w:tc>
        <w:tc>
          <w:tcPr>
            <w:tcW w:type="dxa" w:w="864"/>
          </w:tcPr>
          <w:p>
            <w:pPr>
              <w:jc w:val="center"/>
            </w:pPr>
            <w:r/>
            <w:r>
              <w:rPr>
                <w:rFonts w:eastAsia="宋体"/>
                <w:rFonts w:ascii="Times New Roman" w:hAnsi="Times New Roman"/>
                <w:b w:val="0"/>
                <w:sz w:val="18"/>
              </w:rPr>
              <w:t>13.8</w:t>
            </w:r>
          </w:p>
        </w:tc>
        <w:tc>
          <w:tcPr>
            <w:tcW w:type="dxa" w:w="864"/>
          </w:tcPr>
          <w:p>
            <w:pPr>
              <w:jc w:val="center"/>
            </w:pPr>
            <w:r/>
            <w:r>
              <w:rPr>
                <w:rFonts w:eastAsia="宋体"/>
                <w:rFonts w:ascii="Times New Roman" w:hAnsi="Times New Roman"/>
                <w:b w:val="0"/>
                <w:sz w:val="18"/>
              </w:rPr>
              <w:t>2.0</w:t>
            </w:r>
          </w:p>
        </w:tc>
        <w:tc>
          <w:tcPr>
            <w:tcW w:type="dxa" w:w="864"/>
          </w:tcPr>
          <w:p>
            <w:pPr>
              <w:jc w:val="center"/>
            </w:pPr>
            <w:r/>
            <w:r>
              <w:rPr>
                <w:rFonts w:eastAsia="宋体"/>
                <w:rFonts w:ascii="Times New Roman" w:hAnsi="Times New Roman"/>
                <w:b w:val="0"/>
                <w:sz w:val="18"/>
              </w:rPr>
              <w:t>7.7</w:t>
            </w:r>
          </w:p>
        </w:tc>
        <w:tc>
          <w:tcPr>
            <w:tcW w:type="dxa" w:w="864"/>
          </w:tcPr>
          <w:p>
            <w:pPr>
              <w:jc w:val="center"/>
            </w:pPr>
            <w:r/>
            <w:r>
              <w:rPr>
                <w:rFonts w:eastAsia="宋体"/>
                <w:rFonts w:ascii="Times New Roman" w:hAnsi="Times New Roman"/>
                <w:b w:val="0"/>
                <w:sz w:val="18"/>
              </w:rPr>
              <w:t>20.6</w:t>
            </w:r>
          </w:p>
        </w:tc>
      </w:tr>
      <w:tr>
        <w:tc>
          <w:tcPr>
            <w:tcW w:type="dxa" w:w="864"/>
          </w:tcPr>
          <w:p>
            <w:pPr>
              <w:jc w:val="center"/>
            </w:pPr>
            <w:r/>
            <w:r>
              <w:rPr>
                <w:rFonts w:eastAsia="宋体"/>
                <w:rFonts w:ascii="Times New Roman" w:hAnsi="Times New Roman"/>
                <w:b/>
                <w:sz w:val="18"/>
              </w:rPr>
              <w:t>4</w:t>
            </w:r>
          </w:p>
        </w:tc>
        <w:tc>
          <w:tcPr>
            <w:tcW w:type="dxa" w:w="864"/>
          </w:tcPr>
          <w:p>
            <w:pPr>
              <w:jc w:val="center"/>
            </w:pPr>
            <w:r/>
            <w:r>
              <w:rPr>
                <w:rFonts w:eastAsia="宋体"/>
                <w:rFonts w:ascii="Times New Roman" w:hAnsi="Times New Roman"/>
                <w:b w:val="0"/>
                <w:sz w:val="18"/>
              </w:rPr>
              <w:t>XGBoost</w:t>
            </w:r>
          </w:p>
        </w:tc>
        <w:tc>
          <w:tcPr>
            <w:tcW w:type="dxa" w:w="864"/>
          </w:tcPr>
          <w:p>
            <w:pPr>
              <w:jc w:val="center"/>
            </w:pPr>
            <w:r/>
            <w:r>
              <w:rPr>
                <w:rFonts w:eastAsia="宋体"/>
                <w:rFonts w:ascii="Times New Roman" w:hAnsi="Times New Roman"/>
                <w:b w:val="0"/>
                <w:sz w:val="18"/>
              </w:rPr>
              <w:t>B</w:t>
            </w:r>
          </w:p>
        </w:tc>
        <w:tc>
          <w:tcPr>
            <w:tcW w:type="dxa" w:w="864"/>
          </w:tcPr>
          <w:p>
            <w:pPr>
              <w:jc w:val="center"/>
            </w:pPr>
            <w:r/>
            <w:r>
              <w:rPr>
                <w:rFonts w:eastAsia="宋体"/>
                <w:rFonts w:ascii="Times New Roman" w:hAnsi="Times New Roman"/>
                <w:b w:val="0"/>
                <w:sz w:val="18"/>
              </w:rPr>
              <w:t>树集成</w:t>
            </w:r>
          </w:p>
        </w:tc>
        <w:tc>
          <w:tcPr>
            <w:tcW w:type="dxa" w:w="864"/>
          </w:tcPr>
          <w:p>
            <w:pPr>
              <w:jc w:val="center"/>
            </w:pPr>
            <w:r/>
            <w:r>
              <w:rPr>
                <w:rFonts w:eastAsia="宋体"/>
                <w:rFonts w:ascii="Times New Roman" w:hAnsi="Times New Roman"/>
                <w:b w:val="0"/>
                <w:sz w:val="18"/>
              </w:rPr>
              <w:t>0.9449</w:t>
            </w:r>
          </w:p>
        </w:tc>
        <w:tc>
          <w:tcPr>
            <w:tcW w:type="dxa" w:w="864"/>
          </w:tcPr>
          <w:p>
            <w:pPr>
              <w:jc w:val="center"/>
            </w:pPr>
            <w:r/>
            <w:r>
              <w:rPr>
                <w:rFonts w:eastAsia="宋体"/>
                <w:rFonts w:ascii="Times New Roman" w:hAnsi="Times New Roman"/>
                <w:b w:val="0"/>
                <w:sz w:val="18"/>
              </w:rPr>
              <w:t>0.0150</w:t>
            </w:r>
          </w:p>
        </w:tc>
        <w:tc>
          <w:tcPr>
            <w:tcW w:type="dxa" w:w="864"/>
          </w:tcPr>
          <w:p>
            <w:pPr>
              <w:jc w:val="center"/>
            </w:pPr>
            <w:r/>
            <w:r>
              <w:rPr>
                <w:rFonts w:eastAsia="宋体"/>
                <w:rFonts w:ascii="Times New Roman" w:hAnsi="Times New Roman"/>
                <w:b w:val="0"/>
                <w:sz w:val="18"/>
              </w:rPr>
              <w:t>14.3</w:t>
            </w:r>
          </w:p>
        </w:tc>
        <w:tc>
          <w:tcPr>
            <w:tcW w:type="dxa" w:w="864"/>
          </w:tcPr>
          <w:p>
            <w:pPr>
              <w:jc w:val="center"/>
            </w:pPr>
            <w:r/>
            <w:r>
              <w:rPr>
                <w:rFonts w:eastAsia="宋体"/>
                <w:rFonts w:ascii="Times New Roman" w:hAnsi="Times New Roman"/>
                <w:b w:val="0"/>
                <w:sz w:val="18"/>
              </w:rPr>
              <w:t>1.4</w:t>
            </w:r>
          </w:p>
        </w:tc>
        <w:tc>
          <w:tcPr>
            <w:tcW w:type="dxa" w:w="864"/>
          </w:tcPr>
          <w:p>
            <w:pPr>
              <w:jc w:val="center"/>
            </w:pPr>
            <w:r/>
            <w:r>
              <w:rPr>
                <w:rFonts w:eastAsia="宋体"/>
                <w:rFonts w:ascii="Times New Roman" w:hAnsi="Times New Roman"/>
                <w:b w:val="0"/>
                <w:sz w:val="18"/>
              </w:rPr>
              <w:t>7.3</w:t>
            </w:r>
          </w:p>
        </w:tc>
        <w:tc>
          <w:tcPr>
            <w:tcW w:type="dxa" w:w="864"/>
          </w:tcPr>
          <w:p>
            <w:pPr>
              <w:jc w:val="center"/>
            </w:pPr>
            <w:r/>
            <w:r>
              <w:rPr>
                <w:rFonts w:eastAsia="宋体"/>
                <w:rFonts w:ascii="Times New Roman" w:hAnsi="Times New Roman"/>
                <w:b w:val="0"/>
                <w:sz w:val="18"/>
              </w:rPr>
              <w:t>15.7</w:t>
            </w:r>
          </w:p>
        </w:tc>
      </w:tr>
      <w:tr>
        <w:tc>
          <w:tcPr>
            <w:tcW w:type="dxa" w:w="864"/>
          </w:tcPr>
          <w:p>
            <w:pPr>
              <w:jc w:val="center"/>
            </w:pPr>
            <w:r/>
            <w:r>
              <w:rPr>
                <w:rFonts w:eastAsia="宋体"/>
                <w:rFonts w:ascii="Times New Roman" w:hAnsi="Times New Roman"/>
                <w:b/>
                <w:sz w:val="18"/>
              </w:rPr>
              <w:t>5</w:t>
            </w:r>
          </w:p>
        </w:tc>
        <w:tc>
          <w:tcPr>
            <w:tcW w:type="dxa" w:w="864"/>
          </w:tcPr>
          <w:p>
            <w:pPr>
              <w:jc w:val="center"/>
            </w:pPr>
            <w:r/>
            <w:r>
              <w:rPr>
                <w:rFonts w:eastAsia="宋体"/>
                <w:rFonts w:ascii="Times New Roman" w:hAnsi="Times New Roman"/>
                <w:b w:val="0"/>
                <w:sz w:val="18"/>
              </w:rPr>
              <w:t>LightGBM</w:t>
            </w:r>
          </w:p>
        </w:tc>
        <w:tc>
          <w:tcPr>
            <w:tcW w:type="dxa" w:w="864"/>
          </w:tcPr>
          <w:p>
            <w:pPr>
              <w:jc w:val="center"/>
            </w:pPr>
            <w:r/>
            <w:r>
              <w:rPr>
                <w:rFonts w:eastAsia="宋体"/>
                <w:rFonts w:ascii="Times New Roman" w:hAnsi="Times New Roman"/>
                <w:b w:val="0"/>
                <w:sz w:val="18"/>
              </w:rPr>
              <w:t>B</w:t>
            </w:r>
          </w:p>
        </w:tc>
        <w:tc>
          <w:tcPr>
            <w:tcW w:type="dxa" w:w="864"/>
          </w:tcPr>
          <w:p>
            <w:pPr>
              <w:jc w:val="center"/>
            </w:pPr>
            <w:r/>
            <w:r>
              <w:rPr>
                <w:rFonts w:eastAsia="宋体"/>
                <w:rFonts w:ascii="Times New Roman" w:hAnsi="Times New Roman"/>
                <w:b w:val="0"/>
                <w:sz w:val="18"/>
              </w:rPr>
              <w:t>树集成</w:t>
            </w:r>
          </w:p>
        </w:tc>
        <w:tc>
          <w:tcPr>
            <w:tcW w:type="dxa" w:w="864"/>
          </w:tcPr>
          <w:p>
            <w:pPr>
              <w:jc w:val="center"/>
            </w:pPr>
            <w:r/>
            <w:r>
              <w:rPr>
                <w:rFonts w:eastAsia="宋体"/>
                <w:rFonts w:ascii="Times New Roman" w:hAnsi="Times New Roman"/>
                <w:b w:val="0"/>
                <w:sz w:val="18"/>
              </w:rPr>
              <w:t>0.9350</w:t>
            </w:r>
          </w:p>
        </w:tc>
        <w:tc>
          <w:tcPr>
            <w:tcW w:type="dxa" w:w="864"/>
          </w:tcPr>
          <w:p>
            <w:pPr>
              <w:jc w:val="center"/>
            </w:pPr>
            <w:r/>
            <w:r>
              <w:rPr>
                <w:rFonts w:eastAsia="宋体"/>
                <w:rFonts w:ascii="Times New Roman" w:hAnsi="Times New Roman"/>
                <w:b w:val="0"/>
                <w:sz w:val="18"/>
              </w:rPr>
              <w:t>0.0196</w:t>
            </w:r>
          </w:p>
        </w:tc>
        <w:tc>
          <w:tcPr>
            <w:tcW w:type="dxa" w:w="864"/>
          </w:tcPr>
          <w:p>
            <w:pPr>
              <w:jc w:val="center"/>
            </w:pPr>
            <w:r/>
            <w:r>
              <w:rPr>
                <w:rFonts w:eastAsia="宋体"/>
                <w:rFonts w:ascii="Times New Roman" w:hAnsi="Times New Roman"/>
                <w:b w:val="0"/>
                <w:sz w:val="18"/>
              </w:rPr>
              <w:t>15.7</w:t>
            </w:r>
          </w:p>
        </w:tc>
        <w:tc>
          <w:tcPr>
            <w:tcW w:type="dxa" w:w="864"/>
          </w:tcPr>
          <w:p>
            <w:pPr>
              <w:jc w:val="center"/>
            </w:pPr>
            <w:r/>
            <w:r>
              <w:rPr>
                <w:rFonts w:eastAsia="宋体"/>
                <w:rFonts w:ascii="Times New Roman" w:hAnsi="Times New Roman"/>
                <w:b w:val="0"/>
                <w:sz w:val="18"/>
              </w:rPr>
              <w:t>2.5</w:t>
            </w:r>
          </w:p>
        </w:tc>
        <w:tc>
          <w:tcPr>
            <w:tcW w:type="dxa" w:w="864"/>
          </w:tcPr>
          <w:p>
            <w:pPr>
              <w:jc w:val="center"/>
            </w:pPr>
            <w:r/>
            <w:r>
              <w:rPr>
                <w:rFonts w:eastAsia="宋体"/>
                <w:rFonts w:ascii="Times New Roman" w:hAnsi="Times New Roman"/>
                <w:b w:val="0"/>
                <w:sz w:val="18"/>
              </w:rPr>
              <w:t>8.7</w:t>
            </w:r>
          </w:p>
        </w:tc>
        <w:tc>
          <w:tcPr>
            <w:tcW w:type="dxa" w:w="864"/>
          </w:tcPr>
          <w:p>
            <w:pPr>
              <w:jc w:val="center"/>
            </w:pPr>
            <w:r/>
            <w:r>
              <w:rPr>
                <w:rFonts w:eastAsia="宋体"/>
                <w:rFonts w:ascii="Times New Roman" w:hAnsi="Times New Roman"/>
                <w:b w:val="0"/>
                <w:sz w:val="18"/>
              </w:rPr>
              <w:t>18.7</w:t>
            </w:r>
          </w:p>
        </w:tc>
      </w:tr>
      <w:tr>
        <w:tc>
          <w:tcPr>
            <w:tcW w:type="dxa" w:w="864"/>
          </w:tcPr>
          <w:p>
            <w:pPr>
              <w:jc w:val="center"/>
            </w:pPr>
            <w:r/>
            <w:r>
              <w:rPr>
                <w:rFonts w:eastAsia="宋体"/>
                <w:rFonts w:ascii="Times New Roman" w:hAnsi="Times New Roman"/>
                <w:b/>
                <w:sz w:val="18"/>
              </w:rPr>
              <w:t>6</w:t>
            </w:r>
          </w:p>
        </w:tc>
        <w:tc>
          <w:tcPr>
            <w:tcW w:type="dxa" w:w="864"/>
          </w:tcPr>
          <w:p>
            <w:pPr>
              <w:jc w:val="center"/>
            </w:pPr>
            <w:r/>
            <w:r>
              <w:rPr>
                <w:rFonts w:eastAsia="宋体"/>
                <w:rFonts w:ascii="Times New Roman" w:hAnsi="Times New Roman"/>
                <w:b w:val="0"/>
                <w:sz w:val="18"/>
              </w:rPr>
              <w:t>GPR</w:t>
            </w:r>
          </w:p>
        </w:tc>
        <w:tc>
          <w:tcPr>
            <w:tcW w:type="dxa" w:w="864"/>
          </w:tcPr>
          <w:p>
            <w:pPr>
              <w:jc w:val="center"/>
            </w:pPr>
            <w:r/>
            <w:r>
              <w:rPr>
                <w:rFonts w:eastAsia="宋体"/>
                <w:rFonts w:ascii="Times New Roman" w:hAnsi="Times New Roman"/>
                <w:b w:val="0"/>
                <w:sz w:val="18"/>
              </w:rPr>
              <w:t>C</w:t>
            </w:r>
          </w:p>
        </w:tc>
        <w:tc>
          <w:tcPr>
            <w:tcW w:type="dxa" w:w="864"/>
          </w:tcPr>
          <w:p>
            <w:pPr>
              <w:jc w:val="center"/>
            </w:pPr>
            <w:r/>
            <w:r>
              <w:rPr>
                <w:rFonts w:eastAsia="宋体"/>
                <w:rFonts w:ascii="Times New Roman" w:hAnsi="Times New Roman"/>
                <w:b w:val="0"/>
                <w:sz w:val="18"/>
              </w:rPr>
              <w:t>核方法</w:t>
            </w:r>
          </w:p>
        </w:tc>
        <w:tc>
          <w:tcPr>
            <w:tcW w:type="dxa" w:w="864"/>
          </w:tcPr>
          <w:p>
            <w:pPr>
              <w:jc w:val="center"/>
            </w:pPr>
            <w:r/>
            <w:r>
              <w:rPr>
                <w:rFonts w:eastAsia="宋体"/>
                <w:rFonts w:ascii="Times New Roman" w:hAnsi="Times New Roman"/>
                <w:b w:val="0"/>
                <w:sz w:val="18"/>
              </w:rPr>
              <w:t>0.9299</w:t>
            </w:r>
          </w:p>
        </w:tc>
        <w:tc>
          <w:tcPr>
            <w:tcW w:type="dxa" w:w="864"/>
          </w:tcPr>
          <w:p>
            <w:pPr>
              <w:jc w:val="center"/>
            </w:pPr>
            <w:r/>
            <w:r>
              <w:rPr>
                <w:rFonts w:eastAsia="宋体"/>
                <w:rFonts w:ascii="Times New Roman" w:hAnsi="Times New Roman"/>
                <w:b w:val="0"/>
                <w:sz w:val="18"/>
              </w:rPr>
              <w:t>0.0306</w:t>
            </w:r>
          </w:p>
        </w:tc>
        <w:tc>
          <w:tcPr>
            <w:tcW w:type="dxa" w:w="864"/>
          </w:tcPr>
          <w:p>
            <w:pPr>
              <w:jc w:val="center"/>
            </w:pPr>
            <w:r/>
            <w:r>
              <w:rPr>
                <w:rFonts w:eastAsia="宋体"/>
                <w:rFonts w:ascii="Times New Roman" w:hAnsi="Times New Roman"/>
                <w:b w:val="0"/>
                <w:sz w:val="18"/>
              </w:rPr>
              <w:t>15.9</w:t>
            </w:r>
          </w:p>
        </w:tc>
        <w:tc>
          <w:tcPr>
            <w:tcW w:type="dxa" w:w="864"/>
          </w:tcPr>
          <w:p>
            <w:pPr>
              <w:jc w:val="center"/>
            </w:pPr>
            <w:r/>
            <w:r>
              <w:rPr>
                <w:rFonts w:eastAsia="宋体"/>
                <w:rFonts w:ascii="Times New Roman" w:hAnsi="Times New Roman"/>
                <w:b w:val="0"/>
                <w:sz w:val="18"/>
              </w:rPr>
              <w:t>3.5</w:t>
            </w:r>
          </w:p>
        </w:tc>
        <w:tc>
          <w:tcPr>
            <w:tcW w:type="dxa" w:w="864"/>
          </w:tcPr>
          <w:p>
            <w:pPr>
              <w:jc w:val="center"/>
            </w:pPr>
            <w:r/>
            <w:r>
              <w:rPr>
                <w:rFonts w:eastAsia="宋体"/>
                <w:rFonts w:ascii="Times New Roman" w:hAnsi="Times New Roman"/>
                <w:b w:val="0"/>
                <w:sz w:val="18"/>
              </w:rPr>
              <w:t>7.8</w:t>
            </w:r>
          </w:p>
        </w:tc>
        <w:tc>
          <w:tcPr>
            <w:tcW w:type="dxa" w:w="864"/>
          </w:tcPr>
          <w:p>
            <w:pPr>
              <w:jc w:val="center"/>
            </w:pPr>
            <w:r/>
            <w:r>
              <w:rPr>
                <w:rFonts w:eastAsia="宋体"/>
                <w:rFonts w:ascii="Times New Roman" w:hAnsi="Times New Roman"/>
                <w:b w:val="0"/>
                <w:sz w:val="18"/>
              </w:rPr>
              <w:t>16.8</w:t>
            </w:r>
          </w:p>
        </w:tc>
      </w:tr>
      <w:tr>
        <w:tc>
          <w:tcPr>
            <w:tcW w:type="dxa" w:w="864"/>
          </w:tcPr>
          <w:p>
            <w:pPr>
              <w:jc w:val="center"/>
            </w:pPr>
            <w:r/>
            <w:r>
              <w:rPr>
                <w:rFonts w:eastAsia="宋体"/>
                <w:rFonts w:ascii="Times New Roman" w:hAnsi="Times New Roman"/>
                <w:b/>
                <w:sz w:val="18"/>
              </w:rPr>
              <w:t>7</w:t>
            </w:r>
          </w:p>
        </w:tc>
        <w:tc>
          <w:tcPr>
            <w:tcW w:type="dxa" w:w="864"/>
          </w:tcPr>
          <w:p>
            <w:pPr>
              <w:jc w:val="center"/>
            </w:pPr>
            <w:r/>
            <w:r>
              <w:rPr>
                <w:rFonts w:eastAsia="宋体"/>
                <w:rFonts w:ascii="Times New Roman" w:hAnsi="Times New Roman"/>
                <w:b w:val="0"/>
                <w:sz w:val="18"/>
              </w:rPr>
              <w:t>SVR</w:t>
            </w:r>
          </w:p>
        </w:tc>
        <w:tc>
          <w:tcPr>
            <w:tcW w:type="dxa" w:w="864"/>
          </w:tcPr>
          <w:p>
            <w:pPr>
              <w:jc w:val="center"/>
            </w:pPr>
            <w:r/>
            <w:r>
              <w:rPr>
                <w:rFonts w:eastAsia="宋体"/>
                <w:rFonts w:ascii="Times New Roman" w:hAnsi="Times New Roman"/>
                <w:b w:val="0"/>
                <w:sz w:val="18"/>
              </w:rPr>
              <w:t>C</w:t>
            </w:r>
          </w:p>
        </w:tc>
        <w:tc>
          <w:tcPr>
            <w:tcW w:type="dxa" w:w="864"/>
          </w:tcPr>
          <w:p>
            <w:pPr>
              <w:jc w:val="center"/>
            </w:pPr>
            <w:r/>
            <w:r>
              <w:rPr>
                <w:rFonts w:eastAsia="宋体"/>
                <w:rFonts w:ascii="Times New Roman" w:hAnsi="Times New Roman"/>
                <w:b w:val="0"/>
                <w:sz w:val="18"/>
              </w:rPr>
              <w:t>核方法</w:t>
            </w:r>
          </w:p>
        </w:tc>
        <w:tc>
          <w:tcPr>
            <w:tcW w:type="dxa" w:w="864"/>
          </w:tcPr>
          <w:p>
            <w:pPr>
              <w:jc w:val="center"/>
            </w:pPr>
            <w:r/>
            <w:r>
              <w:rPr>
                <w:rFonts w:eastAsia="宋体"/>
                <w:rFonts w:ascii="Times New Roman" w:hAnsi="Times New Roman"/>
                <w:b w:val="0"/>
                <w:sz w:val="18"/>
              </w:rPr>
              <w:t>0.9112</w:t>
            </w:r>
          </w:p>
        </w:tc>
        <w:tc>
          <w:tcPr>
            <w:tcW w:type="dxa" w:w="864"/>
          </w:tcPr>
          <w:p>
            <w:pPr>
              <w:jc w:val="center"/>
            </w:pPr>
            <w:r/>
            <w:r>
              <w:rPr>
                <w:rFonts w:eastAsia="宋体"/>
                <w:rFonts w:ascii="Times New Roman" w:hAnsi="Times New Roman"/>
                <w:b w:val="0"/>
                <w:sz w:val="18"/>
              </w:rPr>
              <w:t>0.0226</w:t>
            </w:r>
          </w:p>
        </w:tc>
        <w:tc>
          <w:tcPr>
            <w:tcW w:type="dxa" w:w="864"/>
          </w:tcPr>
          <w:p>
            <w:pPr>
              <w:jc w:val="center"/>
            </w:pPr>
            <w:r/>
            <w:r>
              <w:rPr>
                <w:rFonts w:eastAsia="宋体"/>
                <w:rFonts w:ascii="Times New Roman" w:hAnsi="Times New Roman"/>
                <w:b w:val="0"/>
                <w:sz w:val="18"/>
              </w:rPr>
              <w:t>18.3</w:t>
            </w:r>
          </w:p>
        </w:tc>
        <w:tc>
          <w:tcPr>
            <w:tcW w:type="dxa" w:w="864"/>
          </w:tcPr>
          <w:p>
            <w:pPr>
              <w:jc w:val="center"/>
            </w:pPr>
            <w:r/>
            <w:r>
              <w:rPr>
                <w:rFonts w:eastAsia="宋体"/>
                <w:rFonts w:ascii="Times New Roman" w:hAnsi="Times New Roman"/>
                <w:b w:val="0"/>
                <w:sz w:val="18"/>
              </w:rPr>
              <w:t>2.5</w:t>
            </w:r>
          </w:p>
        </w:tc>
        <w:tc>
          <w:tcPr>
            <w:tcW w:type="dxa" w:w="864"/>
          </w:tcPr>
          <w:p>
            <w:pPr>
              <w:jc w:val="center"/>
            </w:pPr>
            <w:r/>
            <w:r>
              <w:rPr>
                <w:rFonts w:eastAsia="宋体"/>
                <w:rFonts w:ascii="Times New Roman" w:hAnsi="Times New Roman"/>
                <w:b w:val="0"/>
                <w:sz w:val="18"/>
              </w:rPr>
              <w:t>8.3</w:t>
            </w:r>
          </w:p>
        </w:tc>
        <w:tc>
          <w:tcPr>
            <w:tcW w:type="dxa" w:w="864"/>
          </w:tcPr>
          <w:p>
            <w:pPr>
              <w:jc w:val="center"/>
            </w:pPr>
            <w:r/>
            <w:r>
              <w:rPr>
                <w:rFonts w:eastAsia="宋体"/>
                <w:rFonts w:ascii="Times New Roman" w:hAnsi="Times New Roman"/>
                <w:b w:val="0"/>
                <w:sz w:val="18"/>
              </w:rPr>
              <w:t>15.0</w:t>
            </w:r>
          </w:p>
        </w:tc>
      </w:tr>
      <w:tr>
        <w:tc>
          <w:tcPr>
            <w:tcW w:type="dxa" w:w="864"/>
          </w:tcPr>
          <w:p>
            <w:pPr>
              <w:jc w:val="center"/>
            </w:pPr>
            <w:r/>
            <w:r>
              <w:rPr>
                <w:rFonts w:eastAsia="宋体"/>
                <w:rFonts w:ascii="Times New Roman" w:hAnsi="Times New Roman"/>
                <w:b/>
                <w:sz w:val="18"/>
              </w:rPr>
              <w:t>8</w:t>
            </w:r>
          </w:p>
        </w:tc>
        <w:tc>
          <w:tcPr>
            <w:tcW w:type="dxa" w:w="864"/>
          </w:tcPr>
          <w:p>
            <w:pPr>
              <w:jc w:val="center"/>
            </w:pPr>
            <w:r/>
            <w:r>
              <w:rPr>
                <w:rFonts w:eastAsia="宋体"/>
                <w:rFonts w:ascii="Times New Roman" w:hAnsi="Times New Roman"/>
                <w:b w:val="0"/>
                <w:sz w:val="18"/>
              </w:rPr>
              <w:t>Ridge</w:t>
            </w:r>
          </w:p>
        </w:tc>
        <w:tc>
          <w:tcPr>
            <w:tcW w:type="dxa" w:w="864"/>
          </w:tcPr>
          <w:p>
            <w:pPr>
              <w:jc w:val="center"/>
            </w:pPr>
            <w:r/>
            <w:r>
              <w:rPr>
                <w:rFonts w:eastAsia="宋体"/>
                <w:rFonts w:ascii="Times New Roman" w:hAnsi="Times New Roman"/>
                <w:b w:val="0"/>
                <w:sz w:val="18"/>
              </w:rPr>
              <w:t>A</w:t>
            </w:r>
          </w:p>
        </w:tc>
        <w:tc>
          <w:tcPr>
            <w:tcW w:type="dxa" w:w="864"/>
          </w:tcPr>
          <w:p>
            <w:pPr>
              <w:jc w:val="center"/>
            </w:pPr>
            <w:r/>
            <w:r>
              <w:rPr>
                <w:rFonts w:eastAsia="宋体"/>
                <w:rFonts w:ascii="Times New Roman" w:hAnsi="Times New Roman"/>
                <w:b w:val="0"/>
                <w:sz w:val="18"/>
              </w:rPr>
              <w:t>线性基线</w:t>
            </w:r>
          </w:p>
        </w:tc>
        <w:tc>
          <w:tcPr>
            <w:tcW w:type="dxa" w:w="864"/>
          </w:tcPr>
          <w:p>
            <w:pPr>
              <w:jc w:val="center"/>
            </w:pPr>
            <w:r/>
            <w:r>
              <w:rPr>
                <w:rFonts w:eastAsia="宋体"/>
                <w:rFonts w:ascii="Times New Roman" w:hAnsi="Times New Roman"/>
                <w:b w:val="0"/>
                <w:sz w:val="18"/>
              </w:rPr>
              <w:t>0.3608</w:t>
            </w:r>
          </w:p>
        </w:tc>
        <w:tc>
          <w:tcPr>
            <w:tcW w:type="dxa" w:w="864"/>
          </w:tcPr>
          <w:p>
            <w:pPr>
              <w:jc w:val="center"/>
            </w:pPr>
            <w:r/>
            <w:r>
              <w:rPr>
                <w:rFonts w:eastAsia="宋体"/>
                <w:rFonts w:ascii="Times New Roman" w:hAnsi="Times New Roman"/>
                <w:b w:val="0"/>
                <w:sz w:val="18"/>
              </w:rPr>
              <w:t>0.0804</w:t>
            </w:r>
          </w:p>
        </w:tc>
        <w:tc>
          <w:tcPr>
            <w:tcW w:type="dxa" w:w="864"/>
          </w:tcPr>
          <w:p>
            <w:pPr>
              <w:jc w:val="center"/>
            </w:pPr>
            <w:r/>
            <w:r>
              <w:rPr>
                <w:rFonts w:eastAsia="宋体"/>
                <w:rFonts w:ascii="Times New Roman" w:hAnsi="Times New Roman"/>
                <w:b w:val="0"/>
                <w:sz w:val="18"/>
              </w:rPr>
              <w:t>49.7</w:t>
            </w:r>
          </w:p>
        </w:tc>
        <w:tc>
          <w:tcPr>
            <w:tcW w:type="dxa" w:w="864"/>
          </w:tcPr>
          <w:p>
            <w:pPr>
              <w:jc w:val="center"/>
            </w:pPr>
            <w:r/>
            <w:r>
              <w:rPr>
                <w:rFonts w:eastAsia="宋体"/>
                <w:rFonts w:ascii="Times New Roman" w:hAnsi="Times New Roman"/>
                <w:b w:val="0"/>
                <w:sz w:val="18"/>
              </w:rPr>
              <w:t>5.9</w:t>
            </w:r>
          </w:p>
        </w:tc>
        <w:tc>
          <w:tcPr>
            <w:tcW w:type="dxa" w:w="864"/>
          </w:tcPr>
          <w:p>
            <w:pPr>
              <w:jc w:val="center"/>
            </w:pPr>
            <w:r/>
            <w:r>
              <w:rPr>
                <w:rFonts w:eastAsia="宋体"/>
                <w:rFonts w:ascii="Times New Roman" w:hAnsi="Times New Roman"/>
                <w:b w:val="0"/>
                <w:sz w:val="18"/>
              </w:rPr>
              <w:t>35.7</w:t>
            </w:r>
          </w:p>
        </w:tc>
        <w:tc>
          <w:tcPr>
            <w:tcW w:type="dxa" w:w="864"/>
          </w:tcPr>
          <w:p>
            <w:pPr>
              <w:jc w:val="center"/>
            </w:pPr>
            <w:r/>
            <w:r>
              <w:rPr>
                <w:rFonts w:eastAsia="宋体"/>
                <w:rFonts w:ascii="Times New Roman" w:hAnsi="Times New Roman"/>
                <w:b w:val="0"/>
                <w:sz w:val="18"/>
              </w:rPr>
              <w:t>82.0</w:t>
            </w:r>
          </w:p>
        </w:tc>
      </w:tr>
      <w:tr>
        <w:tc>
          <w:tcPr>
            <w:tcW w:type="dxa" w:w="864"/>
          </w:tcPr>
          <w:p>
            <w:pPr>
              <w:jc w:val="center"/>
            </w:pPr>
            <w:r/>
            <w:r>
              <w:rPr>
                <w:rFonts w:eastAsia="宋体"/>
                <w:rFonts w:ascii="Times New Roman" w:hAnsi="Times New Roman"/>
                <w:b/>
                <w:sz w:val="18"/>
              </w:rPr>
              <w:t>9</w:t>
            </w:r>
          </w:p>
        </w:tc>
        <w:tc>
          <w:tcPr>
            <w:tcW w:type="dxa" w:w="864"/>
          </w:tcPr>
          <w:p>
            <w:pPr>
              <w:jc w:val="center"/>
            </w:pPr>
            <w:r/>
            <w:r>
              <w:rPr>
                <w:rFonts w:eastAsia="宋体"/>
                <w:rFonts w:ascii="Times New Roman" w:hAnsi="Times New Roman"/>
                <w:b w:val="0"/>
                <w:sz w:val="18"/>
              </w:rPr>
              <w:t>Lasso</w:t>
            </w:r>
          </w:p>
        </w:tc>
        <w:tc>
          <w:tcPr>
            <w:tcW w:type="dxa" w:w="864"/>
          </w:tcPr>
          <w:p>
            <w:pPr>
              <w:jc w:val="center"/>
            </w:pPr>
            <w:r/>
            <w:r>
              <w:rPr>
                <w:rFonts w:eastAsia="宋体"/>
                <w:rFonts w:ascii="Times New Roman" w:hAnsi="Times New Roman"/>
                <w:b w:val="0"/>
                <w:sz w:val="18"/>
              </w:rPr>
              <w:t>A</w:t>
            </w:r>
          </w:p>
        </w:tc>
        <w:tc>
          <w:tcPr>
            <w:tcW w:type="dxa" w:w="864"/>
          </w:tcPr>
          <w:p>
            <w:pPr>
              <w:jc w:val="center"/>
            </w:pPr>
            <w:r/>
            <w:r>
              <w:rPr>
                <w:rFonts w:eastAsia="宋体"/>
                <w:rFonts w:ascii="Times New Roman" w:hAnsi="Times New Roman"/>
                <w:b w:val="0"/>
                <w:sz w:val="18"/>
              </w:rPr>
              <w:t>线性基线</w:t>
            </w:r>
          </w:p>
        </w:tc>
        <w:tc>
          <w:tcPr>
            <w:tcW w:type="dxa" w:w="864"/>
          </w:tcPr>
          <w:p>
            <w:pPr>
              <w:jc w:val="center"/>
            </w:pPr>
            <w:r/>
            <w:r>
              <w:rPr>
                <w:rFonts w:eastAsia="宋体"/>
                <w:rFonts w:ascii="Times New Roman" w:hAnsi="Times New Roman"/>
                <w:b w:val="0"/>
                <w:sz w:val="18"/>
              </w:rPr>
              <w:t>0.3521</w:t>
            </w:r>
          </w:p>
        </w:tc>
        <w:tc>
          <w:tcPr>
            <w:tcW w:type="dxa" w:w="864"/>
          </w:tcPr>
          <w:p>
            <w:pPr>
              <w:jc w:val="center"/>
            </w:pPr>
            <w:r/>
            <w:r>
              <w:rPr>
                <w:rFonts w:eastAsia="宋体"/>
                <w:rFonts w:ascii="Times New Roman" w:hAnsi="Times New Roman"/>
                <w:b w:val="0"/>
                <w:sz w:val="18"/>
              </w:rPr>
              <w:t>0.0774</w:t>
            </w:r>
          </w:p>
        </w:tc>
        <w:tc>
          <w:tcPr>
            <w:tcW w:type="dxa" w:w="864"/>
          </w:tcPr>
          <w:p>
            <w:pPr>
              <w:jc w:val="center"/>
            </w:pPr>
            <w:r/>
            <w:r>
              <w:rPr>
                <w:rFonts w:eastAsia="宋体"/>
                <w:rFonts w:ascii="Times New Roman" w:hAnsi="Times New Roman"/>
                <w:b w:val="0"/>
                <w:sz w:val="18"/>
              </w:rPr>
              <w:t>50.0</w:t>
            </w:r>
          </w:p>
        </w:tc>
        <w:tc>
          <w:tcPr>
            <w:tcW w:type="dxa" w:w="864"/>
          </w:tcPr>
          <w:p>
            <w:pPr>
              <w:jc w:val="center"/>
            </w:pPr>
            <w:r/>
            <w:r>
              <w:rPr>
                <w:rFonts w:eastAsia="宋体"/>
                <w:rFonts w:ascii="Times New Roman" w:hAnsi="Times New Roman"/>
                <w:b w:val="0"/>
                <w:sz w:val="18"/>
              </w:rPr>
              <w:t>5.8</w:t>
            </w:r>
          </w:p>
        </w:tc>
        <w:tc>
          <w:tcPr>
            <w:tcW w:type="dxa" w:w="864"/>
          </w:tcPr>
          <w:p>
            <w:pPr>
              <w:jc w:val="center"/>
            </w:pPr>
            <w:r/>
            <w:r>
              <w:rPr>
                <w:rFonts w:eastAsia="宋体"/>
                <w:rFonts w:ascii="Times New Roman" w:hAnsi="Times New Roman"/>
                <w:b w:val="0"/>
                <w:sz w:val="18"/>
              </w:rPr>
              <w:t>36.4</w:t>
            </w:r>
          </w:p>
        </w:tc>
        <w:tc>
          <w:tcPr>
            <w:tcW w:type="dxa" w:w="864"/>
          </w:tcPr>
          <w:p>
            <w:pPr>
              <w:jc w:val="center"/>
            </w:pPr>
            <w:r/>
            <w:r>
              <w:rPr>
                <w:rFonts w:eastAsia="宋体"/>
                <w:rFonts w:ascii="Times New Roman" w:hAnsi="Times New Roman"/>
                <w:b w:val="0"/>
                <w:sz w:val="18"/>
              </w:rPr>
              <w:t>81.8</w:t>
            </w:r>
          </w:p>
        </w:tc>
      </w:tr>
    </w:tbl>
    <w:p>
      <w:pPr>
        <w:pStyle w:val="Heading1"/>
      </w:pPr>
      <w:r>
        <w:t>3. 分层分析</w:t>
      </w:r>
    </w:p>
    <w:p>
      <w:pPr>
        <w:pStyle w:val="Heading2"/>
      </w:pPr>
      <w:r>
        <w:t>3.1 线性基线的根本局限</w:t>
      </w:r>
    </w:p>
    <w:p>
      <w:r>
        <w:t>Ridge回归 R² = 0.3608 ± 0.0804，Lasso回归 R² = 0.3521 ± 0.0774。两个线性模型解释了仅约36%的CO₂吸附量方差，RMSE接近50 mg/g——这在目标变量均值约62 mg/g的背景下意味着预测误差几乎与信号相当。</w:t>
      </w:r>
    </w:p>
    <w:p>
      <w:r>
        <w:t>线性模型与最优非线性模型（TabPFN，R² = 0.9692）之间的 R² 差距高达 0.608，远超0.05的"非线性必要性"阈值。这一差距不是边际性的——它意味着非线性模型额外解释了约60%的方差，有力地证明了CO₂吸附过程的物理化学机制具有强烈的非线性特征（孔隙填充、表面化学异质性、吸附质-吸附剂协同效应等）。</w:t>
      </w:r>
    </w:p>
    <w:p>
      <w:r>
        <w:t>线性模型的RMSE（~50 mg/g）与MAPE（~82%）表明，简单线性假设在CO₂吸附预测中完全失效。论文中应将线性模型定位为"下界基线（lower-bound baseline）"，用以量化非线性建模的增益幅度。</w:t>
      </w:r>
    </w:p>
    <w:p>
      <w:pPr>
        <w:pStyle w:val="Heading2"/>
      </w:pPr>
      <w:r>
        <w:t>3.2 TabPFN 基础模型的范式突破</w:t>
      </w:r>
    </w:p>
    <w:p>
      <w:r>
        <w:t>TabPFN（管道D）以 R² = 0.9692 ± 0.0103 排名第一，RMSE = 10.7 ± 2.3 mg/g，MAE仅为 4.1 mg/g，MAPE仅 8.0%。尤为关键的是，TabPFN 的 MAE（4.1 mg/g）仅为次优模型GBDT（7.3 mg/g）的约57%，MAPE（8.0%）同样大幅领先——这意味着TabPFN不仅在整体趋势上准确，在逐点预测精度上也显著优于所有传统模型。</w:t>
      </w:r>
    </w:p>
    <w:p>
      <w:r>
        <w:t>TabPFN作为零超参模型（无需任何调优），其性能超越了经过100次Optuna试验精心调优的GBDT、RF和XGBoost。这一发现具有重要的方法论意义：在小样本表格数据（n=341）上，基于大规模合成数据预训练的Transformer基础模型能够捕捉到传统梯度提升树模型难以学习的复杂特征交互模式。TabPFN 的优势在尾部预测中尤为突出：tail_q10_RMSE仅 {tabpfn["tail_q10"]:.1f} mg/g（vs GBDT {gbdt["tail_q10"]:.1f}），表明其对低吸附量区间的罕见样本同样具有优异的泛化能力。</w:t>
      </w:r>
    </w:p>
    <w:p>
      <w:r>
        <w:t>论文建议：将TabPFN vs 传统ML的对比作为论文的核心叙事线索之一——"基础模型范式在小样本材料回归任务中是否优于精心调优的传统方法？"这一问题本身即具备发表价值。</w:t>
      </w:r>
    </w:p>
    <w:p>
      <w:pPr>
        <w:pStyle w:val="Heading2"/>
      </w:pPr>
      <w:r>
        <w:t>3.3 树集成模型：传统方法的巅峰</w:t>
      </w:r>
    </w:p>
    <w:p>
      <w:r>
        <w:t>四个树集成模型（GBDT、RF、XGBoost、LightGBM）构成传统ML的第一梯队，R²均在0.93–0.95之间：</w:t>
        <w:br/>
        <w:t>• GBDT（管道B）：R² = 0.9528 ± 0.0138，RMSE = 13.3 mg/g — 传统方法最优</w:t>
        <w:br/>
        <w:t>• RF（管道B）：R² = 0.9503 ± 0.0120，RMSE = 13.8 mg/g</w:t>
        <w:br/>
        <w:t>• XGBoost（管道B）：R² = 0.9449 ± 0.0150，RMSE = 14.3 mg/g — RMSE_std最小（1.4），稳定性最优</w:t>
        <w:br/>
        <w:t>• LightGBM（管道B）：R² = 0.9350 ± 0.0196，RMSE = 15.7 mg/g</w:t>
      </w:r>
    </w:p>
    <w:p>
      <w:r>
        <w:t>四个树模型的R²极差仅 0.0179，性能高度接近。GBDT略优于RF（ΔR² = 0.0025），XGBoost的RMSE标准差最小（1.4），表明其在不同数据折上表现最为稳定。树模型之间的微小差距在实际应用中可忽略不计，选择时更应考虑计算效率（LightGBM最快）和部署便利性。</w:t>
      </w:r>
    </w:p>
    <w:p>
      <w:pPr>
        <w:pStyle w:val="Heading2"/>
      </w:pPr>
      <w:r>
        <w:t>3.4 核方法：中等性能的桥梁</w:t>
      </w:r>
    </w:p>
    <w:p>
      <w:r>
        <w:t>GPR和SVR构成中间梯队：</w:t>
        <w:br/>
        <w:t>• GPR（管道C）：R² = 0.9299 ± 0.0306，RMSE = 15.9 mg/g</w:t>
        <w:br/>
        <w:t>• SVR（管道C）：R² = 0.9112 ± 0.0226，RMSE = 18.3 mg/g</w:t>
      </w:r>
    </w:p>
    <w:p>
      <w:r>
        <w:t>GPR 优于 SVR（ΔR² = 0.0187），但GPR的R²标准差（0.0306）大于SVR（0.0226），说明GPR的预测不确定性更大。GPR的优势在于同时提供预测方差估计，这在材料筛选的不确定性量化场景中具有独特价值。但两个核方法与树模型的性能差距明显（GPR vs GBDT ΔR² = {gbdt["R²"] - gpr["R²"]:.4f}），表明RBF核对CO₂吸附的高维非线性映射能力不及基于树的集成方法。</w:t>
      </w:r>
    </w:p>
    <w:p>
      <w:pPr>
        <w:pStyle w:val="Heading1"/>
      </w:pPr>
      <w:r>
        <w:t>4. 关键指标解读</w:t>
      </w:r>
    </w:p>
    <w:p>
      <w:r>
        <w:t>R²（决定系数）：衡量模型解释了目标变量方差的比例。R²=1为完美预测，R²=0为仅预测均值。</w:t>
        <w:br/>
        <w:t>RMSE（均方根误差）：预测误差的标准差，单位与目标变量一致（mg/g），对大误差敏感（平方惩罚）。</w:t>
        <w:br/>
        <w:t>MAE（平均绝对误差）：预测误差的均值，对异常值不如RMSE敏感，更直观反映"平均偏差"。</w:t>
        <w:br/>
        <w:t>MAPE（平均绝对百分比误差）：相对误差，便于跨数据集比较，但对接近零的目标值不稳定。</w:t>
        <w:br/>
        <w:t>tail_q10/q90：低/高吸附量区间的RMSE，用于评估模型在数据分布尾部的泛化性能。</w:t>
      </w:r>
    </w:p>
    <w:p>
      <w:r>
        <w:t>R²与RMSE虽然高度相关（r≈0.997），但各自传达不同的信息：R²回答"模型比简单均值好多少"，RMSE回答"预测值与真实值差多少mg/g"。两者联合呈现是材料领域ML论文的标准做法。</w:t>
      </w:r>
    </w:p>
    <w:p>
      <w:pPr>
        <w:pStyle w:val="Heading1"/>
      </w:pPr>
      <w:r>
        <w:t>5. 与TOPSIS综合排名的一致性</w:t>
      </w:r>
    </w:p>
    <w:p>
      <w:r>
        <w:t>Figure 3的R²排名与TOPSIS层次熵权法综合排名完全一致（Spearman ρ=1.0），这是因为R²在所有8个评价指标中与TOPSIS贴近度C_i的相关系数最高（r&gt;0.99）。换言之，在模型性能差异如此显著的数据背景下（最优与最差R²差0.617），任何合理的赋权方案都将产生相同的排名——排名对赋权方法不敏感本身就是稳健性的强证据。层次熵权法下TabPFN的贴近度C_i = 0.9456，Ridge仅为 0.0312，相差约30倍。</w:t>
      </w:r>
    </w:p>
    <w:p>
      <w:pPr>
        <w:pStyle w:val="Heading1"/>
      </w:pPr>
      <w:r>
        <w:t>6. 论文写作建议</w:t>
      </w:r>
    </w:p>
    <w:p>
      <w:r>
        <w:t>1. 叙事主线：从"线性基线失效"到"传统ML卓越"到"基础模型突破"的三级递进</w:t>
        <w:br/>
        <w:t>2. 关键数字：ΔR²(非线性-线性) = 0.592，RMSE改善约4.6倍（49.7→10.7 mg/g）</w:t>
        <w:br/>
        <w:t>3. TabPFN亮点：零超参、MAE仅4.12 mg/g（比GBDT低43%）、尾部预测优异</w:t>
        <w:br/>
        <w:t>4. 方法论文本：论证非线性建模的必要性（线性仅解释36%方差），可引用物理化学文献支撑</w:t>
        <w:br/>
        <w:t>5. 局限性诚实：TabPFN作为黑箱Transformer，可解释性依赖排列重要性（非精确SHAP）；模型在更大规模数据集上的扩展性需进一步验证</w:t>
        <w:br/>
        <w:t>6. 图表配色逻辑：深红（基础模型/前沿）→ 绿（树集成/主流）→ 橙（核方法/经典）→ 蓝（线性/基线），形成"前沿→主流→经典→基线"的视觉叙事</w:t>
      </w:r>
    </w:p>
    <w:p>
      <w:pPr>
        <w:pStyle w:val="Heading1"/>
      </w:pPr>
      <w:r>
        <w:t>7. 结论</w:t>
      </w:r>
    </w:p>
    <w:p>
      <w:r>
        <w:t>在341条生物质衍生MgO改性多孔碳CO₂吸附数据的嵌套交叉验证评估中：</w:t>
        <w:br/>
        <w:br/>
        <w:t>(1) 线性模型（Ridge/Lasso）无法有效预测CO₂吸附量（R²≈0.36），证实了吸附过程的强烈非线性特征；</w:t>
        <w:br/>
        <w:t>(2) 树集成模型（GBDT/RF/XGBoost/LightGBM）表现卓越（R² 0.93–0.95），代表了传统ML方法的性能上限；</w:t>
        <w:br/>
        <w:t>(3) TabPFN基础模型以零超参实现最优性能（R²=0.9692，RMSE=10.7 mg/g），在预测精度和稳定性上全面超越所有传统模型，为基础模型范式在小样本材料回归任务中的应用提供了实证支撑；</w:t>
        <w:br/>
        <w:t>(4) 核方法（GPR/SVR）性能居中（R² 0.91–0.93），适合作为不确定性量化的补充方案；</w:t>
        <w:br/>
        <w:t>(5) TOPSIS多准则综合排名与单指标R²排名完全一致，验证了评价结论的稳健性。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