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Figure 3 — Model Performance Comparison Analysis Report</w:t>
      </w:r>
    </w:p>
    <w:p>
      <w:pPr>
        <w:jc w:val="center"/>
      </w:pPr>
      <w:r>
        <w:t>Date: 22 May 2026</w:t>
      </w:r>
    </w:p>
    <w:p>
      <w:pPr>
        <w:jc w:val="center"/>
      </w:pPr>
      <w:r>
        <w:t>Corresponding Figure: outputs/figures/Figure_3_Model_Comparison.png</w:t>
      </w:r>
    </w:p>
    <w:p/>
    <w:p>
      <w:pPr>
        <w:pStyle w:val="Heading1"/>
      </w:pPr>
      <w:r>
        <w:t>1. Figure Overview</w:t>
      </w:r>
    </w:p>
    <w:p>
      <w:r>
        <w:t>Figure 3 is a dual-panel horizontal bar chart. The left panel displays the coefficient of determination R² (mean ± std) for all nine models; the right panel shows the root mean square error RMSE (mg/g, mean ± std). Models are sorted by R² in descending order and color-coded by category: Foundation Model (deep red), Tree Ensemble (green), Kernel Method (orange), and Linear Baseline (blue). Light blue/green background shading distinguishes the linear baseline region from the nonlinear model region. All metrics are derived from nested cross-validation (StratifiedKFold, outer 5-fold × inner 3-fold, Optuna TPE with n_trials=100), reflecting generalization performance rather than training-set fit.</w:t>
      </w:r>
    </w:p>
    <w:p>
      <w:pPr>
        <w:pStyle w:val="Heading1"/>
      </w:pPr>
      <w:r>
        <w:t>2. Full Performance Metrics</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rFonts w:eastAsia="宋体"/>
                <w:rFonts w:ascii="Times New Roman" w:hAnsi="Times New Roman"/>
                <w:b/>
                <w:sz w:val="18"/>
              </w:rPr>
              <w:t>Rank</w:t>
            </w:r>
          </w:p>
        </w:tc>
        <w:tc>
          <w:tcPr>
            <w:tcW w:type="dxa" w:w="864"/>
          </w:tcPr>
          <w:p>
            <w:pPr>
              <w:jc w:val="center"/>
            </w:pPr>
            <w:r/>
            <w:r>
              <w:rPr>
                <w:rFonts w:eastAsia="宋体"/>
                <w:rFonts w:ascii="Times New Roman" w:hAnsi="Times New Roman"/>
                <w:b/>
                <w:sz w:val="18"/>
              </w:rPr>
              <w:t>Model</w:t>
            </w:r>
          </w:p>
        </w:tc>
        <w:tc>
          <w:tcPr>
            <w:tcW w:type="dxa" w:w="864"/>
          </w:tcPr>
          <w:p>
            <w:pPr>
              <w:jc w:val="center"/>
            </w:pPr>
            <w:r/>
            <w:r>
              <w:rPr>
                <w:rFonts w:eastAsia="宋体"/>
                <w:rFonts w:ascii="Times New Roman" w:hAnsi="Times New Roman"/>
                <w:b/>
                <w:sz w:val="18"/>
              </w:rPr>
              <w:t>Pipeline</w:t>
            </w:r>
          </w:p>
        </w:tc>
        <w:tc>
          <w:tcPr>
            <w:tcW w:type="dxa" w:w="864"/>
          </w:tcPr>
          <w:p>
            <w:pPr>
              <w:jc w:val="center"/>
            </w:pPr>
            <w:r/>
            <w:r>
              <w:rPr>
                <w:rFonts w:eastAsia="宋体"/>
                <w:rFonts w:ascii="Times New Roman" w:hAnsi="Times New Roman"/>
                <w:b/>
                <w:sz w:val="18"/>
              </w:rPr>
              <w:t>Category</w:t>
            </w:r>
          </w:p>
        </w:tc>
        <w:tc>
          <w:tcPr>
            <w:tcW w:type="dxa" w:w="864"/>
          </w:tcPr>
          <w:p>
            <w:pPr>
              <w:jc w:val="center"/>
            </w:pPr>
            <w:r/>
            <w:r>
              <w:rPr>
                <w:rFonts w:eastAsia="宋体"/>
                <w:rFonts w:ascii="Times New Roman" w:hAnsi="Times New Roman"/>
                <w:b/>
                <w:sz w:val="18"/>
              </w:rPr>
              <w:t>R²</w:t>
            </w:r>
          </w:p>
        </w:tc>
        <w:tc>
          <w:tcPr>
            <w:tcW w:type="dxa" w:w="864"/>
          </w:tcPr>
          <w:p>
            <w:pPr>
              <w:jc w:val="center"/>
            </w:pPr>
            <w:r/>
            <w:r>
              <w:rPr>
                <w:rFonts w:eastAsia="宋体"/>
                <w:rFonts w:ascii="Times New Roman" w:hAnsi="Times New Roman"/>
                <w:b/>
                <w:sz w:val="18"/>
              </w:rPr>
              <w:t>R²_std</w:t>
            </w:r>
          </w:p>
        </w:tc>
        <w:tc>
          <w:tcPr>
            <w:tcW w:type="dxa" w:w="864"/>
          </w:tcPr>
          <w:p>
            <w:pPr>
              <w:jc w:val="center"/>
            </w:pPr>
            <w:r/>
            <w:r>
              <w:rPr>
                <w:rFonts w:eastAsia="宋体"/>
                <w:rFonts w:ascii="Times New Roman" w:hAnsi="Times New Roman"/>
                <w:b/>
                <w:sz w:val="18"/>
              </w:rPr>
              <w:t>RMSE</w:t>
            </w:r>
          </w:p>
        </w:tc>
        <w:tc>
          <w:tcPr>
            <w:tcW w:type="dxa" w:w="864"/>
          </w:tcPr>
          <w:p>
            <w:pPr>
              <w:jc w:val="center"/>
            </w:pPr>
            <w:r/>
            <w:r>
              <w:rPr>
                <w:rFonts w:eastAsia="宋体"/>
                <w:rFonts w:ascii="Times New Roman" w:hAnsi="Times New Roman"/>
                <w:b/>
                <w:sz w:val="18"/>
              </w:rPr>
              <w:t>RMSE_std</w:t>
            </w:r>
          </w:p>
        </w:tc>
        <w:tc>
          <w:tcPr>
            <w:tcW w:type="dxa" w:w="864"/>
          </w:tcPr>
          <w:p>
            <w:pPr>
              <w:jc w:val="center"/>
            </w:pPr>
            <w:r/>
            <w:r>
              <w:rPr>
                <w:rFonts w:eastAsia="宋体"/>
                <w:rFonts w:ascii="Times New Roman" w:hAnsi="Times New Roman"/>
                <w:b/>
                <w:sz w:val="18"/>
              </w:rPr>
              <w:t>MAE</w:t>
            </w:r>
          </w:p>
        </w:tc>
        <w:tc>
          <w:tcPr>
            <w:tcW w:type="dxa" w:w="864"/>
          </w:tcPr>
          <w:p>
            <w:pPr>
              <w:jc w:val="center"/>
            </w:pPr>
            <w:r/>
            <w:r>
              <w:rPr>
                <w:rFonts w:eastAsia="宋体"/>
                <w:rFonts w:ascii="Times New Roman" w:hAnsi="Times New Roman"/>
                <w:b/>
                <w:sz w:val="18"/>
              </w:rPr>
              <w:t>MAPE%</w:t>
            </w:r>
          </w:p>
        </w:tc>
      </w:tr>
      <w:tr>
        <w:tc>
          <w:tcPr>
            <w:tcW w:type="dxa" w:w="864"/>
          </w:tcPr>
          <w:p>
            <w:pPr>
              <w:jc w:val="center"/>
            </w:pPr>
            <w:r/>
            <w:r>
              <w:rPr>
                <w:rFonts w:eastAsia="宋体"/>
                <w:rFonts w:ascii="Times New Roman" w:hAnsi="Times New Roman"/>
                <w:b/>
                <w:sz w:val="18"/>
              </w:rPr>
              <w:t>1</w:t>
            </w:r>
          </w:p>
        </w:tc>
        <w:tc>
          <w:tcPr>
            <w:tcW w:type="dxa" w:w="864"/>
          </w:tcPr>
          <w:p>
            <w:pPr>
              <w:jc w:val="center"/>
            </w:pPr>
            <w:r/>
            <w:r>
              <w:rPr>
                <w:rFonts w:eastAsia="宋体"/>
                <w:rFonts w:ascii="Times New Roman" w:hAnsi="Times New Roman"/>
                <w:b w:val="0"/>
                <w:sz w:val="18"/>
              </w:rPr>
              <w:t>TabPFN</w:t>
            </w:r>
          </w:p>
        </w:tc>
        <w:tc>
          <w:tcPr>
            <w:tcW w:type="dxa" w:w="864"/>
          </w:tcPr>
          <w:p>
            <w:pPr>
              <w:jc w:val="center"/>
            </w:pPr>
            <w:r/>
            <w:r>
              <w:rPr>
                <w:rFonts w:eastAsia="宋体"/>
                <w:rFonts w:ascii="Times New Roman" w:hAnsi="Times New Roman"/>
                <w:b w:val="0"/>
                <w:sz w:val="18"/>
              </w:rPr>
              <w:t>D</w:t>
            </w:r>
          </w:p>
        </w:tc>
        <w:tc>
          <w:tcPr>
            <w:tcW w:type="dxa" w:w="864"/>
          </w:tcPr>
          <w:p>
            <w:pPr>
              <w:jc w:val="center"/>
            </w:pPr>
            <w:r/>
            <w:r>
              <w:rPr>
                <w:rFonts w:eastAsia="宋体"/>
                <w:rFonts w:ascii="Times New Roman" w:hAnsi="Times New Roman"/>
                <w:b w:val="0"/>
                <w:sz w:val="18"/>
              </w:rPr>
              <w:t>Foundation</w:t>
            </w:r>
          </w:p>
        </w:tc>
        <w:tc>
          <w:tcPr>
            <w:tcW w:type="dxa" w:w="864"/>
          </w:tcPr>
          <w:p>
            <w:pPr>
              <w:jc w:val="center"/>
            </w:pPr>
            <w:r/>
            <w:r>
              <w:rPr>
                <w:rFonts w:eastAsia="宋体"/>
                <w:rFonts w:ascii="Times New Roman" w:hAnsi="Times New Roman"/>
                <w:b w:val="0"/>
                <w:sz w:val="18"/>
              </w:rPr>
              <w:t>0.9692</w:t>
            </w:r>
          </w:p>
        </w:tc>
        <w:tc>
          <w:tcPr>
            <w:tcW w:type="dxa" w:w="864"/>
          </w:tcPr>
          <w:p>
            <w:pPr>
              <w:jc w:val="center"/>
            </w:pPr>
            <w:r/>
            <w:r>
              <w:rPr>
                <w:rFonts w:eastAsia="宋体"/>
                <w:rFonts w:ascii="Times New Roman" w:hAnsi="Times New Roman"/>
                <w:b w:val="0"/>
                <w:sz w:val="18"/>
              </w:rPr>
              <w:t>0.0103</w:t>
            </w:r>
          </w:p>
        </w:tc>
        <w:tc>
          <w:tcPr>
            <w:tcW w:type="dxa" w:w="864"/>
          </w:tcPr>
          <w:p>
            <w:pPr>
              <w:jc w:val="center"/>
            </w:pPr>
            <w:r/>
            <w:r>
              <w:rPr>
                <w:rFonts w:eastAsia="宋体"/>
                <w:rFonts w:ascii="Times New Roman" w:hAnsi="Times New Roman"/>
                <w:b w:val="0"/>
                <w:sz w:val="18"/>
              </w:rPr>
              <w:t>10.7</w:t>
            </w:r>
          </w:p>
        </w:tc>
        <w:tc>
          <w:tcPr>
            <w:tcW w:type="dxa" w:w="864"/>
          </w:tcPr>
          <w:p>
            <w:pPr>
              <w:jc w:val="center"/>
            </w:pPr>
            <w:r/>
            <w:r>
              <w:rPr>
                <w:rFonts w:eastAsia="宋体"/>
                <w:rFonts w:ascii="Times New Roman" w:hAnsi="Times New Roman"/>
                <w:b w:val="0"/>
                <w:sz w:val="18"/>
              </w:rPr>
              <w:t>2.3</w:t>
            </w:r>
          </w:p>
        </w:tc>
        <w:tc>
          <w:tcPr>
            <w:tcW w:type="dxa" w:w="864"/>
          </w:tcPr>
          <w:p>
            <w:pPr>
              <w:jc w:val="center"/>
            </w:pPr>
            <w:r/>
            <w:r>
              <w:rPr>
                <w:rFonts w:eastAsia="宋体"/>
                <w:rFonts w:ascii="Times New Roman" w:hAnsi="Times New Roman"/>
                <w:b w:val="0"/>
                <w:sz w:val="18"/>
              </w:rPr>
              <w:t>4.1</w:t>
            </w:r>
          </w:p>
        </w:tc>
        <w:tc>
          <w:tcPr>
            <w:tcW w:type="dxa" w:w="864"/>
          </w:tcPr>
          <w:p>
            <w:pPr>
              <w:jc w:val="center"/>
            </w:pPr>
            <w:r/>
            <w:r>
              <w:rPr>
                <w:rFonts w:eastAsia="宋体"/>
                <w:rFonts w:ascii="Times New Roman" w:hAnsi="Times New Roman"/>
                <w:b w:val="0"/>
                <w:sz w:val="18"/>
              </w:rPr>
              <w:t>8.0</w:t>
            </w:r>
          </w:p>
        </w:tc>
      </w:tr>
      <w:tr>
        <w:tc>
          <w:tcPr>
            <w:tcW w:type="dxa" w:w="864"/>
          </w:tcPr>
          <w:p>
            <w:pPr>
              <w:jc w:val="center"/>
            </w:pPr>
            <w:r/>
            <w:r>
              <w:rPr>
                <w:rFonts w:eastAsia="宋体"/>
                <w:rFonts w:ascii="Times New Roman" w:hAnsi="Times New Roman"/>
                <w:b/>
                <w:sz w:val="18"/>
              </w:rPr>
              <w:t>2</w:t>
            </w:r>
          </w:p>
        </w:tc>
        <w:tc>
          <w:tcPr>
            <w:tcW w:type="dxa" w:w="864"/>
          </w:tcPr>
          <w:p>
            <w:pPr>
              <w:jc w:val="center"/>
            </w:pPr>
            <w:r/>
            <w:r>
              <w:rPr>
                <w:rFonts w:eastAsia="宋体"/>
                <w:rFonts w:ascii="Times New Roman" w:hAnsi="Times New Roman"/>
                <w:b w:val="0"/>
                <w:sz w:val="18"/>
              </w:rPr>
              <w:t>GBDT</w:t>
            </w:r>
          </w:p>
        </w:tc>
        <w:tc>
          <w:tcPr>
            <w:tcW w:type="dxa" w:w="864"/>
          </w:tcPr>
          <w:p>
            <w:pPr>
              <w:jc w:val="center"/>
            </w:pPr>
            <w:r/>
            <w:r>
              <w:rPr>
                <w:rFonts w:eastAsia="宋体"/>
                <w:rFonts w:ascii="Times New Roman" w:hAnsi="Times New Roman"/>
                <w:b w:val="0"/>
                <w:sz w:val="18"/>
              </w:rPr>
              <w:t>B</w:t>
            </w:r>
          </w:p>
        </w:tc>
        <w:tc>
          <w:tcPr>
            <w:tcW w:type="dxa" w:w="864"/>
          </w:tcPr>
          <w:p>
            <w:pPr>
              <w:jc w:val="center"/>
            </w:pPr>
            <w:r/>
            <w:r>
              <w:rPr>
                <w:rFonts w:eastAsia="宋体"/>
                <w:rFonts w:ascii="Times New Roman" w:hAnsi="Times New Roman"/>
                <w:b w:val="0"/>
                <w:sz w:val="18"/>
              </w:rPr>
              <w:t>Tree Ensemble</w:t>
            </w:r>
          </w:p>
        </w:tc>
        <w:tc>
          <w:tcPr>
            <w:tcW w:type="dxa" w:w="864"/>
          </w:tcPr>
          <w:p>
            <w:pPr>
              <w:jc w:val="center"/>
            </w:pPr>
            <w:r/>
            <w:r>
              <w:rPr>
                <w:rFonts w:eastAsia="宋体"/>
                <w:rFonts w:ascii="Times New Roman" w:hAnsi="Times New Roman"/>
                <w:b w:val="0"/>
                <w:sz w:val="18"/>
              </w:rPr>
              <w:t>0.9528</w:t>
            </w:r>
          </w:p>
        </w:tc>
        <w:tc>
          <w:tcPr>
            <w:tcW w:type="dxa" w:w="864"/>
          </w:tcPr>
          <w:p>
            <w:pPr>
              <w:jc w:val="center"/>
            </w:pPr>
            <w:r/>
            <w:r>
              <w:rPr>
                <w:rFonts w:eastAsia="宋体"/>
                <w:rFonts w:ascii="Times New Roman" w:hAnsi="Times New Roman"/>
                <w:b w:val="0"/>
                <w:sz w:val="18"/>
              </w:rPr>
              <w:t>0.0138</w:t>
            </w:r>
          </w:p>
        </w:tc>
        <w:tc>
          <w:tcPr>
            <w:tcW w:type="dxa" w:w="864"/>
          </w:tcPr>
          <w:p>
            <w:pPr>
              <w:jc w:val="center"/>
            </w:pPr>
            <w:r/>
            <w:r>
              <w:rPr>
                <w:rFonts w:eastAsia="宋体"/>
                <w:rFonts w:ascii="Times New Roman" w:hAnsi="Times New Roman"/>
                <w:b w:val="0"/>
                <w:sz w:val="18"/>
              </w:rPr>
              <w:t>13.3</w:t>
            </w:r>
          </w:p>
        </w:tc>
        <w:tc>
          <w:tcPr>
            <w:tcW w:type="dxa" w:w="864"/>
          </w:tcPr>
          <w:p>
            <w:pPr>
              <w:jc w:val="center"/>
            </w:pPr>
            <w:r/>
            <w:r>
              <w:rPr>
                <w:rFonts w:eastAsia="宋体"/>
                <w:rFonts w:ascii="Times New Roman" w:hAnsi="Times New Roman"/>
                <w:b w:val="0"/>
                <w:sz w:val="18"/>
              </w:rPr>
              <w:t>1.9</w:t>
            </w:r>
          </w:p>
        </w:tc>
        <w:tc>
          <w:tcPr>
            <w:tcW w:type="dxa" w:w="864"/>
          </w:tcPr>
          <w:p>
            <w:pPr>
              <w:jc w:val="center"/>
            </w:pPr>
            <w:r/>
            <w:r>
              <w:rPr>
                <w:rFonts w:eastAsia="宋体"/>
                <w:rFonts w:ascii="Times New Roman" w:hAnsi="Times New Roman"/>
                <w:b w:val="0"/>
                <w:sz w:val="18"/>
              </w:rPr>
              <w:t>7.3</w:t>
            </w:r>
          </w:p>
        </w:tc>
        <w:tc>
          <w:tcPr>
            <w:tcW w:type="dxa" w:w="864"/>
          </w:tcPr>
          <w:p>
            <w:pPr>
              <w:jc w:val="center"/>
            </w:pPr>
            <w:r/>
            <w:r>
              <w:rPr>
                <w:rFonts w:eastAsia="宋体"/>
                <w:rFonts w:ascii="Times New Roman" w:hAnsi="Times New Roman"/>
                <w:b w:val="0"/>
                <w:sz w:val="18"/>
              </w:rPr>
              <w:t>16.9</w:t>
            </w:r>
          </w:p>
        </w:tc>
      </w:tr>
      <w:tr>
        <w:tc>
          <w:tcPr>
            <w:tcW w:type="dxa" w:w="864"/>
          </w:tcPr>
          <w:p>
            <w:pPr>
              <w:jc w:val="center"/>
            </w:pPr>
            <w:r/>
            <w:r>
              <w:rPr>
                <w:rFonts w:eastAsia="宋体"/>
                <w:rFonts w:ascii="Times New Roman" w:hAnsi="Times New Roman"/>
                <w:b/>
                <w:sz w:val="18"/>
              </w:rPr>
              <w:t>3</w:t>
            </w:r>
          </w:p>
        </w:tc>
        <w:tc>
          <w:tcPr>
            <w:tcW w:type="dxa" w:w="864"/>
          </w:tcPr>
          <w:p>
            <w:pPr>
              <w:jc w:val="center"/>
            </w:pPr>
            <w:r/>
            <w:r>
              <w:rPr>
                <w:rFonts w:eastAsia="宋体"/>
                <w:rFonts w:ascii="Times New Roman" w:hAnsi="Times New Roman"/>
                <w:b w:val="0"/>
                <w:sz w:val="18"/>
              </w:rPr>
              <w:t>RF</w:t>
            </w:r>
          </w:p>
        </w:tc>
        <w:tc>
          <w:tcPr>
            <w:tcW w:type="dxa" w:w="864"/>
          </w:tcPr>
          <w:p>
            <w:pPr>
              <w:jc w:val="center"/>
            </w:pPr>
            <w:r/>
            <w:r>
              <w:rPr>
                <w:rFonts w:eastAsia="宋体"/>
                <w:rFonts w:ascii="Times New Roman" w:hAnsi="Times New Roman"/>
                <w:b w:val="0"/>
                <w:sz w:val="18"/>
              </w:rPr>
              <w:t>B</w:t>
            </w:r>
          </w:p>
        </w:tc>
        <w:tc>
          <w:tcPr>
            <w:tcW w:type="dxa" w:w="864"/>
          </w:tcPr>
          <w:p>
            <w:pPr>
              <w:jc w:val="center"/>
            </w:pPr>
            <w:r/>
            <w:r>
              <w:rPr>
                <w:rFonts w:eastAsia="宋体"/>
                <w:rFonts w:ascii="Times New Roman" w:hAnsi="Times New Roman"/>
                <w:b w:val="0"/>
                <w:sz w:val="18"/>
              </w:rPr>
              <w:t>Tree Ensemble</w:t>
            </w:r>
          </w:p>
        </w:tc>
        <w:tc>
          <w:tcPr>
            <w:tcW w:type="dxa" w:w="864"/>
          </w:tcPr>
          <w:p>
            <w:pPr>
              <w:jc w:val="center"/>
            </w:pPr>
            <w:r/>
            <w:r>
              <w:rPr>
                <w:rFonts w:eastAsia="宋体"/>
                <w:rFonts w:ascii="Times New Roman" w:hAnsi="Times New Roman"/>
                <w:b w:val="0"/>
                <w:sz w:val="18"/>
              </w:rPr>
              <w:t>0.9503</w:t>
            </w:r>
          </w:p>
        </w:tc>
        <w:tc>
          <w:tcPr>
            <w:tcW w:type="dxa" w:w="864"/>
          </w:tcPr>
          <w:p>
            <w:pPr>
              <w:jc w:val="center"/>
            </w:pPr>
            <w:r/>
            <w:r>
              <w:rPr>
                <w:rFonts w:eastAsia="宋体"/>
                <w:rFonts w:ascii="Times New Roman" w:hAnsi="Times New Roman"/>
                <w:b w:val="0"/>
                <w:sz w:val="18"/>
              </w:rPr>
              <w:t>0.0120</w:t>
            </w:r>
          </w:p>
        </w:tc>
        <w:tc>
          <w:tcPr>
            <w:tcW w:type="dxa" w:w="864"/>
          </w:tcPr>
          <w:p>
            <w:pPr>
              <w:jc w:val="center"/>
            </w:pPr>
            <w:r/>
            <w:r>
              <w:rPr>
                <w:rFonts w:eastAsia="宋体"/>
                <w:rFonts w:ascii="Times New Roman" w:hAnsi="Times New Roman"/>
                <w:b w:val="0"/>
                <w:sz w:val="18"/>
              </w:rPr>
              <w:t>13.8</w:t>
            </w:r>
          </w:p>
        </w:tc>
        <w:tc>
          <w:tcPr>
            <w:tcW w:type="dxa" w:w="864"/>
          </w:tcPr>
          <w:p>
            <w:pPr>
              <w:jc w:val="center"/>
            </w:pPr>
            <w:r/>
            <w:r>
              <w:rPr>
                <w:rFonts w:eastAsia="宋体"/>
                <w:rFonts w:ascii="Times New Roman" w:hAnsi="Times New Roman"/>
                <w:b w:val="0"/>
                <w:sz w:val="18"/>
              </w:rPr>
              <w:t>2.0</w:t>
            </w:r>
          </w:p>
        </w:tc>
        <w:tc>
          <w:tcPr>
            <w:tcW w:type="dxa" w:w="864"/>
          </w:tcPr>
          <w:p>
            <w:pPr>
              <w:jc w:val="center"/>
            </w:pPr>
            <w:r/>
            <w:r>
              <w:rPr>
                <w:rFonts w:eastAsia="宋体"/>
                <w:rFonts w:ascii="Times New Roman" w:hAnsi="Times New Roman"/>
                <w:b w:val="0"/>
                <w:sz w:val="18"/>
              </w:rPr>
              <w:t>7.7</w:t>
            </w:r>
          </w:p>
        </w:tc>
        <w:tc>
          <w:tcPr>
            <w:tcW w:type="dxa" w:w="864"/>
          </w:tcPr>
          <w:p>
            <w:pPr>
              <w:jc w:val="center"/>
            </w:pPr>
            <w:r/>
            <w:r>
              <w:rPr>
                <w:rFonts w:eastAsia="宋体"/>
                <w:rFonts w:ascii="Times New Roman" w:hAnsi="Times New Roman"/>
                <w:b w:val="0"/>
                <w:sz w:val="18"/>
              </w:rPr>
              <w:t>20.6</w:t>
            </w:r>
          </w:p>
        </w:tc>
      </w:tr>
      <w:tr>
        <w:tc>
          <w:tcPr>
            <w:tcW w:type="dxa" w:w="864"/>
          </w:tcPr>
          <w:p>
            <w:pPr>
              <w:jc w:val="center"/>
            </w:pPr>
            <w:r/>
            <w:r>
              <w:rPr>
                <w:rFonts w:eastAsia="宋体"/>
                <w:rFonts w:ascii="Times New Roman" w:hAnsi="Times New Roman"/>
                <w:b/>
                <w:sz w:val="18"/>
              </w:rPr>
              <w:t>4</w:t>
            </w:r>
          </w:p>
        </w:tc>
        <w:tc>
          <w:tcPr>
            <w:tcW w:type="dxa" w:w="864"/>
          </w:tcPr>
          <w:p>
            <w:pPr>
              <w:jc w:val="center"/>
            </w:pPr>
            <w:r/>
            <w:r>
              <w:rPr>
                <w:rFonts w:eastAsia="宋体"/>
                <w:rFonts w:ascii="Times New Roman" w:hAnsi="Times New Roman"/>
                <w:b w:val="0"/>
                <w:sz w:val="18"/>
              </w:rPr>
              <w:t>XGBoost</w:t>
            </w:r>
          </w:p>
        </w:tc>
        <w:tc>
          <w:tcPr>
            <w:tcW w:type="dxa" w:w="864"/>
          </w:tcPr>
          <w:p>
            <w:pPr>
              <w:jc w:val="center"/>
            </w:pPr>
            <w:r/>
            <w:r>
              <w:rPr>
                <w:rFonts w:eastAsia="宋体"/>
                <w:rFonts w:ascii="Times New Roman" w:hAnsi="Times New Roman"/>
                <w:b w:val="0"/>
                <w:sz w:val="18"/>
              </w:rPr>
              <w:t>B</w:t>
            </w:r>
          </w:p>
        </w:tc>
        <w:tc>
          <w:tcPr>
            <w:tcW w:type="dxa" w:w="864"/>
          </w:tcPr>
          <w:p>
            <w:pPr>
              <w:jc w:val="center"/>
            </w:pPr>
            <w:r/>
            <w:r>
              <w:rPr>
                <w:rFonts w:eastAsia="宋体"/>
                <w:rFonts w:ascii="Times New Roman" w:hAnsi="Times New Roman"/>
                <w:b w:val="0"/>
                <w:sz w:val="18"/>
              </w:rPr>
              <w:t>Tree Ensemble</w:t>
            </w:r>
          </w:p>
        </w:tc>
        <w:tc>
          <w:tcPr>
            <w:tcW w:type="dxa" w:w="864"/>
          </w:tcPr>
          <w:p>
            <w:pPr>
              <w:jc w:val="center"/>
            </w:pPr>
            <w:r/>
            <w:r>
              <w:rPr>
                <w:rFonts w:eastAsia="宋体"/>
                <w:rFonts w:ascii="Times New Roman" w:hAnsi="Times New Roman"/>
                <w:b w:val="0"/>
                <w:sz w:val="18"/>
              </w:rPr>
              <w:t>0.9449</w:t>
            </w:r>
          </w:p>
        </w:tc>
        <w:tc>
          <w:tcPr>
            <w:tcW w:type="dxa" w:w="864"/>
          </w:tcPr>
          <w:p>
            <w:pPr>
              <w:jc w:val="center"/>
            </w:pPr>
            <w:r/>
            <w:r>
              <w:rPr>
                <w:rFonts w:eastAsia="宋体"/>
                <w:rFonts w:ascii="Times New Roman" w:hAnsi="Times New Roman"/>
                <w:b w:val="0"/>
                <w:sz w:val="18"/>
              </w:rPr>
              <w:t>0.0150</w:t>
            </w:r>
          </w:p>
        </w:tc>
        <w:tc>
          <w:tcPr>
            <w:tcW w:type="dxa" w:w="864"/>
          </w:tcPr>
          <w:p>
            <w:pPr>
              <w:jc w:val="center"/>
            </w:pPr>
            <w:r/>
            <w:r>
              <w:rPr>
                <w:rFonts w:eastAsia="宋体"/>
                <w:rFonts w:ascii="Times New Roman" w:hAnsi="Times New Roman"/>
                <w:b w:val="0"/>
                <w:sz w:val="18"/>
              </w:rPr>
              <w:t>14.3</w:t>
            </w:r>
          </w:p>
        </w:tc>
        <w:tc>
          <w:tcPr>
            <w:tcW w:type="dxa" w:w="864"/>
          </w:tcPr>
          <w:p>
            <w:pPr>
              <w:jc w:val="center"/>
            </w:pPr>
            <w:r/>
            <w:r>
              <w:rPr>
                <w:rFonts w:eastAsia="宋体"/>
                <w:rFonts w:ascii="Times New Roman" w:hAnsi="Times New Roman"/>
                <w:b w:val="0"/>
                <w:sz w:val="18"/>
              </w:rPr>
              <w:t>1.4</w:t>
            </w:r>
          </w:p>
        </w:tc>
        <w:tc>
          <w:tcPr>
            <w:tcW w:type="dxa" w:w="864"/>
          </w:tcPr>
          <w:p>
            <w:pPr>
              <w:jc w:val="center"/>
            </w:pPr>
            <w:r/>
            <w:r>
              <w:rPr>
                <w:rFonts w:eastAsia="宋体"/>
                <w:rFonts w:ascii="Times New Roman" w:hAnsi="Times New Roman"/>
                <w:b w:val="0"/>
                <w:sz w:val="18"/>
              </w:rPr>
              <w:t>7.3</w:t>
            </w:r>
          </w:p>
        </w:tc>
        <w:tc>
          <w:tcPr>
            <w:tcW w:type="dxa" w:w="864"/>
          </w:tcPr>
          <w:p>
            <w:pPr>
              <w:jc w:val="center"/>
            </w:pPr>
            <w:r/>
            <w:r>
              <w:rPr>
                <w:rFonts w:eastAsia="宋体"/>
                <w:rFonts w:ascii="Times New Roman" w:hAnsi="Times New Roman"/>
                <w:b w:val="0"/>
                <w:sz w:val="18"/>
              </w:rPr>
              <w:t>15.7</w:t>
            </w:r>
          </w:p>
        </w:tc>
      </w:tr>
      <w:tr>
        <w:tc>
          <w:tcPr>
            <w:tcW w:type="dxa" w:w="864"/>
          </w:tcPr>
          <w:p>
            <w:pPr>
              <w:jc w:val="center"/>
            </w:pPr>
            <w:r/>
            <w:r>
              <w:rPr>
                <w:rFonts w:eastAsia="宋体"/>
                <w:rFonts w:ascii="Times New Roman" w:hAnsi="Times New Roman"/>
                <w:b/>
                <w:sz w:val="18"/>
              </w:rPr>
              <w:t>5</w:t>
            </w:r>
          </w:p>
        </w:tc>
        <w:tc>
          <w:tcPr>
            <w:tcW w:type="dxa" w:w="864"/>
          </w:tcPr>
          <w:p>
            <w:pPr>
              <w:jc w:val="center"/>
            </w:pPr>
            <w:r/>
            <w:r>
              <w:rPr>
                <w:rFonts w:eastAsia="宋体"/>
                <w:rFonts w:ascii="Times New Roman" w:hAnsi="Times New Roman"/>
                <w:b w:val="0"/>
                <w:sz w:val="18"/>
              </w:rPr>
              <w:t>LightGBM</w:t>
            </w:r>
          </w:p>
        </w:tc>
        <w:tc>
          <w:tcPr>
            <w:tcW w:type="dxa" w:w="864"/>
          </w:tcPr>
          <w:p>
            <w:pPr>
              <w:jc w:val="center"/>
            </w:pPr>
            <w:r/>
            <w:r>
              <w:rPr>
                <w:rFonts w:eastAsia="宋体"/>
                <w:rFonts w:ascii="Times New Roman" w:hAnsi="Times New Roman"/>
                <w:b w:val="0"/>
                <w:sz w:val="18"/>
              </w:rPr>
              <w:t>B</w:t>
            </w:r>
          </w:p>
        </w:tc>
        <w:tc>
          <w:tcPr>
            <w:tcW w:type="dxa" w:w="864"/>
          </w:tcPr>
          <w:p>
            <w:pPr>
              <w:jc w:val="center"/>
            </w:pPr>
            <w:r/>
            <w:r>
              <w:rPr>
                <w:rFonts w:eastAsia="宋体"/>
                <w:rFonts w:ascii="Times New Roman" w:hAnsi="Times New Roman"/>
                <w:b w:val="0"/>
                <w:sz w:val="18"/>
              </w:rPr>
              <w:t>Tree Ensemble</w:t>
            </w:r>
          </w:p>
        </w:tc>
        <w:tc>
          <w:tcPr>
            <w:tcW w:type="dxa" w:w="864"/>
          </w:tcPr>
          <w:p>
            <w:pPr>
              <w:jc w:val="center"/>
            </w:pPr>
            <w:r/>
            <w:r>
              <w:rPr>
                <w:rFonts w:eastAsia="宋体"/>
                <w:rFonts w:ascii="Times New Roman" w:hAnsi="Times New Roman"/>
                <w:b w:val="0"/>
                <w:sz w:val="18"/>
              </w:rPr>
              <w:t>0.9350</w:t>
            </w:r>
          </w:p>
        </w:tc>
        <w:tc>
          <w:tcPr>
            <w:tcW w:type="dxa" w:w="864"/>
          </w:tcPr>
          <w:p>
            <w:pPr>
              <w:jc w:val="center"/>
            </w:pPr>
            <w:r/>
            <w:r>
              <w:rPr>
                <w:rFonts w:eastAsia="宋体"/>
                <w:rFonts w:ascii="Times New Roman" w:hAnsi="Times New Roman"/>
                <w:b w:val="0"/>
                <w:sz w:val="18"/>
              </w:rPr>
              <w:t>0.0196</w:t>
            </w:r>
          </w:p>
        </w:tc>
        <w:tc>
          <w:tcPr>
            <w:tcW w:type="dxa" w:w="864"/>
          </w:tcPr>
          <w:p>
            <w:pPr>
              <w:jc w:val="center"/>
            </w:pPr>
            <w:r/>
            <w:r>
              <w:rPr>
                <w:rFonts w:eastAsia="宋体"/>
                <w:rFonts w:ascii="Times New Roman" w:hAnsi="Times New Roman"/>
                <w:b w:val="0"/>
                <w:sz w:val="18"/>
              </w:rPr>
              <w:t>15.7</w:t>
            </w:r>
          </w:p>
        </w:tc>
        <w:tc>
          <w:tcPr>
            <w:tcW w:type="dxa" w:w="864"/>
          </w:tcPr>
          <w:p>
            <w:pPr>
              <w:jc w:val="center"/>
            </w:pPr>
            <w:r/>
            <w:r>
              <w:rPr>
                <w:rFonts w:eastAsia="宋体"/>
                <w:rFonts w:ascii="Times New Roman" w:hAnsi="Times New Roman"/>
                <w:b w:val="0"/>
                <w:sz w:val="18"/>
              </w:rPr>
              <w:t>2.5</w:t>
            </w:r>
          </w:p>
        </w:tc>
        <w:tc>
          <w:tcPr>
            <w:tcW w:type="dxa" w:w="864"/>
          </w:tcPr>
          <w:p>
            <w:pPr>
              <w:jc w:val="center"/>
            </w:pPr>
            <w:r/>
            <w:r>
              <w:rPr>
                <w:rFonts w:eastAsia="宋体"/>
                <w:rFonts w:ascii="Times New Roman" w:hAnsi="Times New Roman"/>
                <w:b w:val="0"/>
                <w:sz w:val="18"/>
              </w:rPr>
              <w:t>8.7</w:t>
            </w:r>
          </w:p>
        </w:tc>
        <w:tc>
          <w:tcPr>
            <w:tcW w:type="dxa" w:w="864"/>
          </w:tcPr>
          <w:p>
            <w:pPr>
              <w:jc w:val="center"/>
            </w:pPr>
            <w:r/>
            <w:r>
              <w:rPr>
                <w:rFonts w:eastAsia="宋体"/>
                <w:rFonts w:ascii="Times New Roman" w:hAnsi="Times New Roman"/>
                <w:b w:val="0"/>
                <w:sz w:val="18"/>
              </w:rPr>
              <w:t>18.7</w:t>
            </w:r>
          </w:p>
        </w:tc>
      </w:tr>
      <w:tr>
        <w:tc>
          <w:tcPr>
            <w:tcW w:type="dxa" w:w="864"/>
          </w:tcPr>
          <w:p>
            <w:pPr>
              <w:jc w:val="center"/>
            </w:pPr>
            <w:r/>
            <w:r>
              <w:rPr>
                <w:rFonts w:eastAsia="宋体"/>
                <w:rFonts w:ascii="Times New Roman" w:hAnsi="Times New Roman"/>
                <w:b/>
                <w:sz w:val="18"/>
              </w:rPr>
              <w:t>6</w:t>
            </w:r>
          </w:p>
        </w:tc>
        <w:tc>
          <w:tcPr>
            <w:tcW w:type="dxa" w:w="864"/>
          </w:tcPr>
          <w:p>
            <w:pPr>
              <w:jc w:val="center"/>
            </w:pPr>
            <w:r/>
            <w:r>
              <w:rPr>
                <w:rFonts w:eastAsia="宋体"/>
                <w:rFonts w:ascii="Times New Roman" w:hAnsi="Times New Roman"/>
                <w:b w:val="0"/>
                <w:sz w:val="18"/>
              </w:rPr>
              <w:t>GPR</w:t>
            </w:r>
          </w:p>
        </w:tc>
        <w:tc>
          <w:tcPr>
            <w:tcW w:type="dxa" w:w="864"/>
          </w:tcPr>
          <w:p>
            <w:pPr>
              <w:jc w:val="center"/>
            </w:pPr>
            <w:r/>
            <w:r>
              <w:rPr>
                <w:rFonts w:eastAsia="宋体"/>
                <w:rFonts w:ascii="Times New Roman" w:hAnsi="Times New Roman"/>
                <w:b w:val="0"/>
                <w:sz w:val="18"/>
              </w:rPr>
              <w:t>C</w:t>
            </w:r>
          </w:p>
        </w:tc>
        <w:tc>
          <w:tcPr>
            <w:tcW w:type="dxa" w:w="864"/>
          </w:tcPr>
          <w:p>
            <w:pPr>
              <w:jc w:val="center"/>
            </w:pPr>
            <w:r/>
            <w:r>
              <w:rPr>
                <w:rFonts w:eastAsia="宋体"/>
                <w:rFonts w:ascii="Times New Roman" w:hAnsi="Times New Roman"/>
                <w:b w:val="0"/>
                <w:sz w:val="18"/>
              </w:rPr>
              <w:t>Kernel Method</w:t>
            </w:r>
          </w:p>
        </w:tc>
        <w:tc>
          <w:tcPr>
            <w:tcW w:type="dxa" w:w="864"/>
          </w:tcPr>
          <w:p>
            <w:pPr>
              <w:jc w:val="center"/>
            </w:pPr>
            <w:r/>
            <w:r>
              <w:rPr>
                <w:rFonts w:eastAsia="宋体"/>
                <w:rFonts w:ascii="Times New Roman" w:hAnsi="Times New Roman"/>
                <w:b w:val="0"/>
                <w:sz w:val="18"/>
              </w:rPr>
              <w:t>0.9299</w:t>
            </w:r>
          </w:p>
        </w:tc>
        <w:tc>
          <w:tcPr>
            <w:tcW w:type="dxa" w:w="864"/>
          </w:tcPr>
          <w:p>
            <w:pPr>
              <w:jc w:val="center"/>
            </w:pPr>
            <w:r/>
            <w:r>
              <w:rPr>
                <w:rFonts w:eastAsia="宋体"/>
                <w:rFonts w:ascii="Times New Roman" w:hAnsi="Times New Roman"/>
                <w:b w:val="0"/>
                <w:sz w:val="18"/>
              </w:rPr>
              <w:t>0.0306</w:t>
            </w:r>
          </w:p>
        </w:tc>
        <w:tc>
          <w:tcPr>
            <w:tcW w:type="dxa" w:w="864"/>
          </w:tcPr>
          <w:p>
            <w:pPr>
              <w:jc w:val="center"/>
            </w:pPr>
            <w:r/>
            <w:r>
              <w:rPr>
                <w:rFonts w:eastAsia="宋体"/>
                <w:rFonts w:ascii="Times New Roman" w:hAnsi="Times New Roman"/>
                <w:b w:val="0"/>
                <w:sz w:val="18"/>
              </w:rPr>
              <w:t>15.9</w:t>
            </w:r>
          </w:p>
        </w:tc>
        <w:tc>
          <w:tcPr>
            <w:tcW w:type="dxa" w:w="864"/>
          </w:tcPr>
          <w:p>
            <w:pPr>
              <w:jc w:val="center"/>
            </w:pPr>
            <w:r/>
            <w:r>
              <w:rPr>
                <w:rFonts w:eastAsia="宋体"/>
                <w:rFonts w:ascii="Times New Roman" w:hAnsi="Times New Roman"/>
                <w:b w:val="0"/>
                <w:sz w:val="18"/>
              </w:rPr>
              <w:t>3.5</w:t>
            </w:r>
          </w:p>
        </w:tc>
        <w:tc>
          <w:tcPr>
            <w:tcW w:type="dxa" w:w="864"/>
          </w:tcPr>
          <w:p>
            <w:pPr>
              <w:jc w:val="center"/>
            </w:pPr>
            <w:r/>
            <w:r>
              <w:rPr>
                <w:rFonts w:eastAsia="宋体"/>
                <w:rFonts w:ascii="Times New Roman" w:hAnsi="Times New Roman"/>
                <w:b w:val="0"/>
                <w:sz w:val="18"/>
              </w:rPr>
              <w:t>7.8</w:t>
            </w:r>
          </w:p>
        </w:tc>
        <w:tc>
          <w:tcPr>
            <w:tcW w:type="dxa" w:w="864"/>
          </w:tcPr>
          <w:p>
            <w:pPr>
              <w:jc w:val="center"/>
            </w:pPr>
            <w:r/>
            <w:r>
              <w:rPr>
                <w:rFonts w:eastAsia="宋体"/>
                <w:rFonts w:ascii="Times New Roman" w:hAnsi="Times New Roman"/>
                <w:b w:val="0"/>
                <w:sz w:val="18"/>
              </w:rPr>
              <w:t>16.8</w:t>
            </w:r>
          </w:p>
        </w:tc>
      </w:tr>
      <w:tr>
        <w:tc>
          <w:tcPr>
            <w:tcW w:type="dxa" w:w="864"/>
          </w:tcPr>
          <w:p>
            <w:pPr>
              <w:jc w:val="center"/>
            </w:pPr>
            <w:r/>
            <w:r>
              <w:rPr>
                <w:rFonts w:eastAsia="宋体"/>
                <w:rFonts w:ascii="Times New Roman" w:hAnsi="Times New Roman"/>
                <w:b/>
                <w:sz w:val="18"/>
              </w:rPr>
              <w:t>7</w:t>
            </w:r>
          </w:p>
        </w:tc>
        <w:tc>
          <w:tcPr>
            <w:tcW w:type="dxa" w:w="864"/>
          </w:tcPr>
          <w:p>
            <w:pPr>
              <w:jc w:val="center"/>
            </w:pPr>
            <w:r/>
            <w:r>
              <w:rPr>
                <w:rFonts w:eastAsia="宋体"/>
                <w:rFonts w:ascii="Times New Roman" w:hAnsi="Times New Roman"/>
                <w:b w:val="0"/>
                <w:sz w:val="18"/>
              </w:rPr>
              <w:t>SVR</w:t>
            </w:r>
          </w:p>
        </w:tc>
        <w:tc>
          <w:tcPr>
            <w:tcW w:type="dxa" w:w="864"/>
          </w:tcPr>
          <w:p>
            <w:pPr>
              <w:jc w:val="center"/>
            </w:pPr>
            <w:r/>
            <w:r>
              <w:rPr>
                <w:rFonts w:eastAsia="宋体"/>
                <w:rFonts w:ascii="Times New Roman" w:hAnsi="Times New Roman"/>
                <w:b w:val="0"/>
                <w:sz w:val="18"/>
              </w:rPr>
              <w:t>C</w:t>
            </w:r>
          </w:p>
        </w:tc>
        <w:tc>
          <w:tcPr>
            <w:tcW w:type="dxa" w:w="864"/>
          </w:tcPr>
          <w:p>
            <w:pPr>
              <w:jc w:val="center"/>
            </w:pPr>
            <w:r/>
            <w:r>
              <w:rPr>
                <w:rFonts w:eastAsia="宋体"/>
                <w:rFonts w:ascii="Times New Roman" w:hAnsi="Times New Roman"/>
                <w:b w:val="0"/>
                <w:sz w:val="18"/>
              </w:rPr>
              <w:t>Kernel Method</w:t>
            </w:r>
          </w:p>
        </w:tc>
        <w:tc>
          <w:tcPr>
            <w:tcW w:type="dxa" w:w="864"/>
          </w:tcPr>
          <w:p>
            <w:pPr>
              <w:jc w:val="center"/>
            </w:pPr>
            <w:r/>
            <w:r>
              <w:rPr>
                <w:rFonts w:eastAsia="宋体"/>
                <w:rFonts w:ascii="Times New Roman" w:hAnsi="Times New Roman"/>
                <w:b w:val="0"/>
                <w:sz w:val="18"/>
              </w:rPr>
              <w:t>0.9112</w:t>
            </w:r>
          </w:p>
        </w:tc>
        <w:tc>
          <w:tcPr>
            <w:tcW w:type="dxa" w:w="864"/>
          </w:tcPr>
          <w:p>
            <w:pPr>
              <w:jc w:val="center"/>
            </w:pPr>
            <w:r/>
            <w:r>
              <w:rPr>
                <w:rFonts w:eastAsia="宋体"/>
                <w:rFonts w:ascii="Times New Roman" w:hAnsi="Times New Roman"/>
                <w:b w:val="0"/>
                <w:sz w:val="18"/>
              </w:rPr>
              <w:t>0.0226</w:t>
            </w:r>
          </w:p>
        </w:tc>
        <w:tc>
          <w:tcPr>
            <w:tcW w:type="dxa" w:w="864"/>
          </w:tcPr>
          <w:p>
            <w:pPr>
              <w:jc w:val="center"/>
            </w:pPr>
            <w:r/>
            <w:r>
              <w:rPr>
                <w:rFonts w:eastAsia="宋体"/>
                <w:rFonts w:ascii="Times New Roman" w:hAnsi="Times New Roman"/>
                <w:b w:val="0"/>
                <w:sz w:val="18"/>
              </w:rPr>
              <w:t>18.3</w:t>
            </w:r>
          </w:p>
        </w:tc>
        <w:tc>
          <w:tcPr>
            <w:tcW w:type="dxa" w:w="864"/>
          </w:tcPr>
          <w:p>
            <w:pPr>
              <w:jc w:val="center"/>
            </w:pPr>
            <w:r/>
            <w:r>
              <w:rPr>
                <w:rFonts w:eastAsia="宋体"/>
                <w:rFonts w:ascii="Times New Roman" w:hAnsi="Times New Roman"/>
                <w:b w:val="0"/>
                <w:sz w:val="18"/>
              </w:rPr>
              <w:t>2.5</w:t>
            </w:r>
          </w:p>
        </w:tc>
        <w:tc>
          <w:tcPr>
            <w:tcW w:type="dxa" w:w="864"/>
          </w:tcPr>
          <w:p>
            <w:pPr>
              <w:jc w:val="center"/>
            </w:pPr>
            <w:r/>
            <w:r>
              <w:rPr>
                <w:rFonts w:eastAsia="宋体"/>
                <w:rFonts w:ascii="Times New Roman" w:hAnsi="Times New Roman"/>
                <w:b w:val="0"/>
                <w:sz w:val="18"/>
              </w:rPr>
              <w:t>8.3</w:t>
            </w:r>
          </w:p>
        </w:tc>
        <w:tc>
          <w:tcPr>
            <w:tcW w:type="dxa" w:w="864"/>
          </w:tcPr>
          <w:p>
            <w:pPr>
              <w:jc w:val="center"/>
            </w:pPr>
            <w:r/>
            <w:r>
              <w:rPr>
                <w:rFonts w:eastAsia="宋体"/>
                <w:rFonts w:ascii="Times New Roman" w:hAnsi="Times New Roman"/>
                <w:b w:val="0"/>
                <w:sz w:val="18"/>
              </w:rPr>
              <w:t>15.0</w:t>
            </w:r>
          </w:p>
        </w:tc>
      </w:tr>
      <w:tr>
        <w:tc>
          <w:tcPr>
            <w:tcW w:type="dxa" w:w="864"/>
          </w:tcPr>
          <w:p>
            <w:pPr>
              <w:jc w:val="center"/>
            </w:pPr>
            <w:r/>
            <w:r>
              <w:rPr>
                <w:rFonts w:eastAsia="宋体"/>
                <w:rFonts w:ascii="Times New Roman" w:hAnsi="Times New Roman"/>
                <w:b/>
                <w:sz w:val="18"/>
              </w:rPr>
              <w:t>8</w:t>
            </w:r>
          </w:p>
        </w:tc>
        <w:tc>
          <w:tcPr>
            <w:tcW w:type="dxa" w:w="864"/>
          </w:tcPr>
          <w:p>
            <w:pPr>
              <w:jc w:val="center"/>
            </w:pPr>
            <w:r/>
            <w:r>
              <w:rPr>
                <w:rFonts w:eastAsia="宋体"/>
                <w:rFonts w:ascii="Times New Roman" w:hAnsi="Times New Roman"/>
                <w:b w:val="0"/>
                <w:sz w:val="18"/>
              </w:rPr>
              <w:t>Ridge</w:t>
            </w:r>
          </w:p>
        </w:tc>
        <w:tc>
          <w:tcPr>
            <w:tcW w:type="dxa" w:w="864"/>
          </w:tcPr>
          <w:p>
            <w:pPr>
              <w:jc w:val="center"/>
            </w:pPr>
            <w:r/>
            <w:r>
              <w:rPr>
                <w:rFonts w:eastAsia="宋体"/>
                <w:rFonts w:ascii="Times New Roman" w:hAnsi="Times New Roman"/>
                <w:b w:val="0"/>
                <w:sz w:val="18"/>
              </w:rPr>
              <w:t>A</w:t>
            </w:r>
          </w:p>
        </w:tc>
        <w:tc>
          <w:tcPr>
            <w:tcW w:type="dxa" w:w="864"/>
          </w:tcPr>
          <w:p>
            <w:pPr>
              <w:jc w:val="center"/>
            </w:pPr>
            <w:r/>
            <w:r>
              <w:rPr>
                <w:rFonts w:eastAsia="宋体"/>
                <w:rFonts w:ascii="Times New Roman" w:hAnsi="Times New Roman"/>
                <w:b w:val="0"/>
                <w:sz w:val="18"/>
              </w:rPr>
              <w:t>Linear Baseline</w:t>
            </w:r>
          </w:p>
        </w:tc>
        <w:tc>
          <w:tcPr>
            <w:tcW w:type="dxa" w:w="864"/>
          </w:tcPr>
          <w:p>
            <w:pPr>
              <w:jc w:val="center"/>
            </w:pPr>
            <w:r/>
            <w:r>
              <w:rPr>
                <w:rFonts w:eastAsia="宋体"/>
                <w:rFonts w:ascii="Times New Roman" w:hAnsi="Times New Roman"/>
                <w:b w:val="0"/>
                <w:sz w:val="18"/>
              </w:rPr>
              <w:t>0.3608</w:t>
            </w:r>
          </w:p>
        </w:tc>
        <w:tc>
          <w:tcPr>
            <w:tcW w:type="dxa" w:w="864"/>
          </w:tcPr>
          <w:p>
            <w:pPr>
              <w:jc w:val="center"/>
            </w:pPr>
            <w:r/>
            <w:r>
              <w:rPr>
                <w:rFonts w:eastAsia="宋体"/>
                <w:rFonts w:ascii="Times New Roman" w:hAnsi="Times New Roman"/>
                <w:b w:val="0"/>
                <w:sz w:val="18"/>
              </w:rPr>
              <w:t>0.0804</w:t>
            </w:r>
          </w:p>
        </w:tc>
        <w:tc>
          <w:tcPr>
            <w:tcW w:type="dxa" w:w="864"/>
          </w:tcPr>
          <w:p>
            <w:pPr>
              <w:jc w:val="center"/>
            </w:pPr>
            <w:r/>
            <w:r>
              <w:rPr>
                <w:rFonts w:eastAsia="宋体"/>
                <w:rFonts w:ascii="Times New Roman" w:hAnsi="Times New Roman"/>
                <w:b w:val="0"/>
                <w:sz w:val="18"/>
              </w:rPr>
              <w:t>49.7</w:t>
            </w:r>
          </w:p>
        </w:tc>
        <w:tc>
          <w:tcPr>
            <w:tcW w:type="dxa" w:w="864"/>
          </w:tcPr>
          <w:p>
            <w:pPr>
              <w:jc w:val="center"/>
            </w:pPr>
            <w:r/>
            <w:r>
              <w:rPr>
                <w:rFonts w:eastAsia="宋体"/>
                <w:rFonts w:ascii="Times New Roman" w:hAnsi="Times New Roman"/>
                <w:b w:val="0"/>
                <w:sz w:val="18"/>
              </w:rPr>
              <w:t>5.9</w:t>
            </w:r>
          </w:p>
        </w:tc>
        <w:tc>
          <w:tcPr>
            <w:tcW w:type="dxa" w:w="864"/>
          </w:tcPr>
          <w:p>
            <w:pPr>
              <w:jc w:val="center"/>
            </w:pPr>
            <w:r/>
            <w:r>
              <w:rPr>
                <w:rFonts w:eastAsia="宋体"/>
                <w:rFonts w:ascii="Times New Roman" w:hAnsi="Times New Roman"/>
                <w:b w:val="0"/>
                <w:sz w:val="18"/>
              </w:rPr>
              <w:t>35.7</w:t>
            </w:r>
          </w:p>
        </w:tc>
        <w:tc>
          <w:tcPr>
            <w:tcW w:type="dxa" w:w="864"/>
          </w:tcPr>
          <w:p>
            <w:pPr>
              <w:jc w:val="center"/>
            </w:pPr>
            <w:r/>
            <w:r>
              <w:rPr>
                <w:rFonts w:eastAsia="宋体"/>
                <w:rFonts w:ascii="Times New Roman" w:hAnsi="Times New Roman"/>
                <w:b w:val="0"/>
                <w:sz w:val="18"/>
              </w:rPr>
              <w:t>82.0</w:t>
            </w:r>
          </w:p>
        </w:tc>
      </w:tr>
      <w:tr>
        <w:tc>
          <w:tcPr>
            <w:tcW w:type="dxa" w:w="864"/>
          </w:tcPr>
          <w:p>
            <w:pPr>
              <w:jc w:val="center"/>
            </w:pPr>
            <w:r/>
            <w:r>
              <w:rPr>
                <w:rFonts w:eastAsia="宋体"/>
                <w:rFonts w:ascii="Times New Roman" w:hAnsi="Times New Roman"/>
                <w:b/>
                <w:sz w:val="18"/>
              </w:rPr>
              <w:t>9</w:t>
            </w:r>
          </w:p>
        </w:tc>
        <w:tc>
          <w:tcPr>
            <w:tcW w:type="dxa" w:w="864"/>
          </w:tcPr>
          <w:p>
            <w:pPr>
              <w:jc w:val="center"/>
            </w:pPr>
            <w:r/>
            <w:r>
              <w:rPr>
                <w:rFonts w:eastAsia="宋体"/>
                <w:rFonts w:ascii="Times New Roman" w:hAnsi="Times New Roman"/>
                <w:b w:val="0"/>
                <w:sz w:val="18"/>
              </w:rPr>
              <w:t>Lasso</w:t>
            </w:r>
          </w:p>
        </w:tc>
        <w:tc>
          <w:tcPr>
            <w:tcW w:type="dxa" w:w="864"/>
          </w:tcPr>
          <w:p>
            <w:pPr>
              <w:jc w:val="center"/>
            </w:pPr>
            <w:r/>
            <w:r>
              <w:rPr>
                <w:rFonts w:eastAsia="宋体"/>
                <w:rFonts w:ascii="Times New Roman" w:hAnsi="Times New Roman"/>
                <w:b w:val="0"/>
                <w:sz w:val="18"/>
              </w:rPr>
              <w:t>A</w:t>
            </w:r>
          </w:p>
        </w:tc>
        <w:tc>
          <w:tcPr>
            <w:tcW w:type="dxa" w:w="864"/>
          </w:tcPr>
          <w:p>
            <w:pPr>
              <w:jc w:val="center"/>
            </w:pPr>
            <w:r/>
            <w:r>
              <w:rPr>
                <w:rFonts w:eastAsia="宋体"/>
                <w:rFonts w:ascii="Times New Roman" w:hAnsi="Times New Roman"/>
                <w:b w:val="0"/>
                <w:sz w:val="18"/>
              </w:rPr>
              <w:t>Linear Baseline</w:t>
            </w:r>
          </w:p>
        </w:tc>
        <w:tc>
          <w:tcPr>
            <w:tcW w:type="dxa" w:w="864"/>
          </w:tcPr>
          <w:p>
            <w:pPr>
              <w:jc w:val="center"/>
            </w:pPr>
            <w:r/>
            <w:r>
              <w:rPr>
                <w:rFonts w:eastAsia="宋体"/>
                <w:rFonts w:ascii="Times New Roman" w:hAnsi="Times New Roman"/>
                <w:b w:val="0"/>
                <w:sz w:val="18"/>
              </w:rPr>
              <w:t>0.3521</w:t>
            </w:r>
          </w:p>
        </w:tc>
        <w:tc>
          <w:tcPr>
            <w:tcW w:type="dxa" w:w="864"/>
          </w:tcPr>
          <w:p>
            <w:pPr>
              <w:jc w:val="center"/>
            </w:pPr>
            <w:r/>
            <w:r>
              <w:rPr>
                <w:rFonts w:eastAsia="宋体"/>
                <w:rFonts w:ascii="Times New Roman" w:hAnsi="Times New Roman"/>
                <w:b w:val="0"/>
                <w:sz w:val="18"/>
              </w:rPr>
              <w:t>0.0774</w:t>
            </w:r>
          </w:p>
        </w:tc>
        <w:tc>
          <w:tcPr>
            <w:tcW w:type="dxa" w:w="864"/>
          </w:tcPr>
          <w:p>
            <w:pPr>
              <w:jc w:val="center"/>
            </w:pPr>
            <w:r/>
            <w:r>
              <w:rPr>
                <w:rFonts w:eastAsia="宋体"/>
                <w:rFonts w:ascii="Times New Roman" w:hAnsi="Times New Roman"/>
                <w:b w:val="0"/>
                <w:sz w:val="18"/>
              </w:rPr>
              <w:t>50.0</w:t>
            </w:r>
          </w:p>
        </w:tc>
        <w:tc>
          <w:tcPr>
            <w:tcW w:type="dxa" w:w="864"/>
          </w:tcPr>
          <w:p>
            <w:pPr>
              <w:jc w:val="center"/>
            </w:pPr>
            <w:r/>
            <w:r>
              <w:rPr>
                <w:rFonts w:eastAsia="宋体"/>
                <w:rFonts w:ascii="Times New Roman" w:hAnsi="Times New Roman"/>
                <w:b w:val="0"/>
                <w:sz w:val="18"/>
              </w:rPr>
              <w:t>5.8</w:t>
            </w:r>
          </w:p>
        </w:tc>
        <w:tc>
          <w:tcPr>
            <w:tcW w:type="dxa" w:w="864"/>
          </w:tcPr>
          <w:p>
            <w:pPr>
              <w:jc w:val="center"/>
            </w:pPr>
            <w:r/>
            <w:r>
              <w:rPr>
                <w:rFonts w:eastAsia="宋体"/>
                <w:rFonts w:ascii="Times New Roman" w:hAnsi="Times New Roman"/>
                <w:b w:val="0"/>
                <w:sz w:val="18"/>
              </w:rPr>
              <w:t>36.4</w:t>
            </w:r>
          </w:p>
        </w:tc>
        <w:tc>
          <w:tcPr>
            <w:tcW w:type="dxa" w:w="864"/>
          </w:tcPr>
          <w:p>
            <w:pPr>
              <w:jc w:val="center"/>
            </w:pPr>
            <w:r/>
            <w:r>
              <w:rPr>
                <w:rFonts w:eastAsia="宋体"/>
                <w:rFonts w:ascii="Times New Roman" w:hAnsi="Times New Roman"/>
                <w:b w:val="0"/>
                <w:sz w:val="18"/>
              </w:rPr>
              <w:t>81.8</w:t>
            </w:r>
          </w:p>
        </w:tc>
      </w:tr>
    </w:tbl>
    <w:p>
      <w:pPr>
        <w:pStyle w:val="Heading1"/>
      </w:pPr>
      <w:r>
        <w:t>3. Hierarchical Analysis</w:t>
      </w:r>
    </w:p>
    <w:p>
      <w:pPr>
        <w:pStyle w:val="Heading2"/>
      </w:pPr>
      <w:r>
        <w:t>3.1 Fundamental Limitations of Linear Baselines</w:t>
      </w:r>
    </w:p>
    <w:p>
      <w:r>
        <w:t>Ridge regression achieves R² = 0.3608 ± 0.0804, and Lasso regression R² = 0.3521 ± 0.0774. Both linear models explain only ~36% of the variance in CO₂ uptake, with RMSE approaching 50 mg/g—comparable to the signal itself given the target mean of ~62 mg/g.</w:t>
      </w:r>
    </w:p>
    <w:p>
      <w:r>
        <w:t>The R² gap between the best linear model and the best nonlinear model (TabPFN, R² = 0.9692) is 0.608, far exceeding the 0.05 threshold for establishing nonlinear necessity. This gap is not marginal—the nonlinear models explain approximately 60% additional variance, providing strong evidence that CO₂ adsorption is governed by inherently nonlinear physicochemical mechanisms (pore filling, surface chemical heterogeneity, adsorbate–adsorbent synergistic effects).</w:t>
      </w:r>
    </w:p>
    <w:p>
      <w:r>
        <w:t>The linear models serve as a lower-bound baseline in the paper, quantifying the magnitude of improvement achievable through nonlinear modeling. Their RMSE (~50 mg/g) and MAPE (~82%) confirm that simple linear assumptions are wholly inadequate for CO₂ adsorption prediction.</w:t>
      </w:r>
    </w:p>
    <w:p>
      <w:pPr>
        <w:pStyle w:val="Heading2"/>
      </w:pPr>
      <w:r>
        <w:t>3.2 TabPFN: A Paradigm Shift for Small-Tabular-Data Regression</w:t>
      </w:r>
    </w:p>
    <w:p>
      <w:r>
        <w:t>TabPFN (Pipeline D) ranks first with R² = 0.9692 ± 0.0103, RMSE = 10.7 ± 2.3 mg/g, MAE = 4.1 mg/g, and MAPE = 8.0%. Critically, TabPFN's MAE (4.1 mg/g) is only ~57% of the second-best model GBDT (7.3 mg/g), and its MAPE (8.0%) is roughly half of GBDT's MAPE (16.9%)—demonstrating that TabPFN excels not only in overall trend capture but also in point-wise prediction accuracy.</w:t>
      </w:r>
    </w:p>
    <w:p>
      <w:r>
        <w:t>As a zero-hyperparameter model requiring no tuning whatsoever, TabPFN outperforms GBDT, RF, and XGBoost after 100 Optuna trials each. This finding carries significant methodological implications: on small tabular datasets (n=341), a Transformer-based foundation model pre-trained on large-scale synthetic data can capture complex feature interactions that elude even carefully tuned gradient-boosted trees. TabPFN's advantage is particularly pronounced in tail predictions: tail_q10_RMSE = 9.5 mg/g (vs. GBDT 20.5), indicating robust generalization to rare low-adsorption samples.</w:t>
      </w:r>
    </w:p>
    <w:p>
      <w:r>
        <w:t>Recommendation: Position the TabPFN vs. traditional ML comparison as a central narrative thread—"Does the foundation model paradigm outperform meticulously tuned traditional methods on small-sample materials regression tasks?" is a question with intrinsic publication value.</w:t>
      </w:r>
    </w:p>
    <w:p>
      <w:pPr>
        <w:pStyle w:val="Heading2"/>
      </w:pPr>
      <w:r>
        <w:t>3.3 Tree Ensemble Models: The Apex of Traditional ML</w:t>
      </w:r>
    </w:p>
    <w:p>
      <w:r>
        <w:t>The four tree ensemble models constitute the top tier of traditional ML, with R² ranging from 0.93 to 0.95:</w:t>
        <w:br/>
        <w:t>• GBDT (Pipeline B): R² = 0.9528 ± 0.0138, RMSE = 13.3 mg/g — best traditional method</w:t>
        <w:br/>
        <w:t>• RF (Pipeline B):   R² = 0.9503 ± 0.0120, RMSE = 13.8 mg/g</w:t>
        <w:br/>
        <w:t>• XGBoost (Pipeline B): R² = 0.9449 ± 0.0150, RMSE = 14.3 mg/g — smallest RMSE_std (1.4), best stability</w:t>
        <w:br/>
        <w:t>• LightGBM (Pipeline B): R² = 0.9350 ± 0.0196, RMSE = 15.7 mg/g</w:t>
      </w:r>
    </w:p>
    <w:p>
      <w:r>
        <w:t>The R² range across tree models is only 0.0179, indicating near-identical performance. GBDT marginally outperforms RF (ΔR² = 0.0025), while XGBoost exhibits the smallest RMSE standard deviation (1.4), reflecting superior stability across data folds. The negligible performance gap among tree models suggests that practical deployment considerations (LightGBM for speed, XGBoost for stability) should guide model selection.</w:t>
      </w:r>
    </w:p>
    <w:p>
      <w:pPr>
        <w:pStyle w:val="Heading2"/>
      </w:pPr>
      <w:r>
        <w:t>3.4 Kernel Methods: Intermediate Performance</w:t>
      </w:r>
    </w:p>
    <w:p>
      <w:r>
        <w:t>GPR and SVR form the intermediate tier:</w:t>
        <w:br/>
        <w:t>• GPR (Pipeline C): R² = 0.9299 ± 0.0306, RMSE = 15.9 mg/g</w:t>
        <w:br/>
        <w:t>• SVR (Pipeline C): R² = 0.9112 ± 0.0226, RMSE = 18.3 mg/g</w:t>
      </w:r>
    </w:p>
    <w:p>
      <w:r>
        <w:t>GPR outperforms SVR (ΔR² = 0.0187), but with greater R² variability (σ = 0.0306 vs. 0.0226), indicating higher prediction uncertainty. GPR's unique advantage lies in providing predictive variance estimates, valuable for uncertainty quantification in materials screening. However, the performance gap relative to tree ensembles (GPR vs. GBDT ΔR² = 0.0229) indicates that RBF kernels are less effective than tree-based ensembles at capturing the high-dimensional nonlinear mapping of CO₂ adsorption.</w:t>
      </w:r>
    </w:p>
    <w:p>
      <w:pPr>
        <w:pStyle w:val="Heading1"/>
      </w:pPr>
      <w:r>
        <w:t>4. Metric Interpretation</w:t>
      </w:r>
    </w:p>
    <w:p>
      <w:r>
        <w:t>R² (Coefficient of Determination): Proportion of target variance explained by the model. R² = 1 indicates perfect prediction; R² = 0 indicates prediction by the mean.</w:t>
        <w:br/>
        <w:t>RMSE (Root Mean Square Error): Standard deviation of prediction errors (mg/g). Penalizes large errors quadratically.</w:t>
        <w:br/>
        <w:t>MAE (Mean Absolute Error): Average absolute deviation (mg/g). Less sensitive to outliers than RMSE.</w:t>
        <w:br/>
        <w:t>MAPE (Mean Absolute Percentage Error): Relative error (%). Facilitates cross-dataset comparison but is unstable for near-zero target values.</w:t>
        <w:br/>
        <w:t>tail_q10 / tail_q90: RMSE computed on the lowest/highest 10% of CO₂ uptake samples, evaluating model generalization at distribution tails.</w:t>
      </w:r>
    </w:p>
    <w:p>
      <w:r>
        <w:t>Although R² and RMSE are highly correlated (r ≈ 0.997), they convey distinct information: R² answers "how much better is the model than the simple mean?", while RMSE answers "by how many mg/g does the prediction deviate from the true value?" Joint presentation of both metrics is standard practice in ML-for-materials papers.</w:t>
      </w:r>
    </w:p>
    <w:p>
      <w:pPr>
        <w:pStyle w:val="Heading1"/>
      </w:pPr>
      <w:r>
        <w:t>5. Consistency with TOPSIS Multi-Criteria Ranking</w:t>
      </w:r>
    </w:p>
    <w:p>
      <w:r>
        <w:t>The R² ranking in Figure 3 is perfectly consistent with the TOPSIS Grouped Entropy comprehensive ranking (Spearman ρ = 1.0). This is because R² has the highest correlation with the TOPSIS closeness coefficient C_i (r &gt; 0.99) among all eight evaluation metrics. In a data context where the performance gap between the best and worst model is so pronounced (ΔR² = 0.617), any reasonable weighting scheme produces identical rankings—ranking insensitivity to the weighting method is itself strong evidence of robustness. Under the grouped entropy scheme, TabPFN achieves C_i = 0.9456, while Ridge is only 0.0312—a ~30× difference.</w:t>
      </w:r>
    </w:p>
    <w:p>
      <w:pPr>
        <w:pStyle w:val="Heading1"/>
      </w:pPr>
      <w:r>
        <w:t>6. Recommendations for Manuscript Preparation</w:t>
      </w:r>
    </w:p>
    <w:p>
      <w:r>
        <w:t>1. Narrative arc: "Linear failure → Traditional ML excellence → Foundation model breakthrough" (three-stage progression)</w:t>
        <w:br/>
        <w:t>2. Key numbers: ΔR² (nonlinear − linear) = 0.592; RMSE improvement ~4.6× (49.7 → 10.7 mg/g)</w:t>
        <w:br/>
        <w:t>3. TabPFN highlights: zero hyperparameters, MAE = 4.12 mg/g (43% lower than GBDT), superior tail performance</w:t>
        <w:br/>
        <w:t>4. Methodological framing: cite physicochemical literature to justify why linear models fail (pore filling, surface heterogeneity, cooperative adsorption effects)</w:t>
        <w:br/>
        <w:t>5. Honest limitations: TabPFN as a black-box Transformer relies on permutation importance (not exact SHAP) for interpretability; scalability to larger datasets requires further validation</w:t>
        <w:br/>
        <w:t>6. Color logic: Deep red (frontier) → Green (mainstream) → Orange (classical) → Blue (baseline), forming a visual narrative from cutting-edge to foundational</w:t>
      </w:r>
    </w:p>
    <w:p>
      <w:pPr>
        <w:pStyle w:val="Heading1"/>
      </w:pPr>
      <w:r>
        <w:t>7. Conclusions</w:t>
      </w:r>
    </w:p>
    <w:p>
      <w:r>
        <w:t>Based on nested cross-validation evaluation of 341 experimental records on biomass-derived MgO-modified porous carbon CO₂ adsorption:</w:t>
        <w:br/>
        <w:br/>
        <w:t>(1) Linear models (Ridge/Lasso) fail to effectively predict CO₂ uptake (R² ≈ 0.36), confirming the strongly nonlinear nature of the adsorption process;</w:t>
        <w:br/>
        <w:t>(2) Tree ensemble models (GBDT/RF/XGBoost/LightGBM) achieve excellent performance (R² 0.93–0.95), representing the upper bound of traditional ML methods;</w:t>
        <w:br/>
        <w:t>(3) The TabPFN foundation model achieves state-of-the-art performance with zero hyperparameters (R² = 0.9692, RMSE = 10.7 mg/g), surpassing all traditional models in both accuracy and stability—providing empirical evidence for the foundation model paradigm in small-sample materials regression;</w:t>
        <w:br/>
        <w:t>(4) Kernel methods (GPR/SVR) show intermediate performance (R² 0.91–0.93) and are suitable as complementary tools for uncertainty quantification;</w:t>
        <w:br/>
        <w:t>(5) The TOPSIS multi-criteria comprehensive ranking is perfectly consistent with the single-metric R² ranking, confirming the robustness of the evaluation conclusions.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