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MgO改性生物炭CO₂吸附性能</w:t>
        <w:br/>
        <w:t>机器学习模型性能评估报告</w:t>
      </w:r>
    </w:p>
    <w:p>
      <w:pPr>
        <w:jc w:val="center"/>
      </w:pPr>
      <w:r>
        <w:rPr>
          <w:color w:val="808080"/>
          <w:sz w:val="20"/>
        </w:rPr>
        <w:t>生成日期: 2026-05-28 | 随机种子=42 | 样本量=341</w:t>
      </w:r>
    </w:p>
    <w:p/>
    <w:p>
      <w:pPr>
        <w:pStyle w:val="Heading1"/>
      </w:pPr>
      <w:r>
        <w:t>1. 嵌套交叉验证结果 (StratifiedKFold 5×3)</w:t>
      </w:r>
    </w:p>
    <w:p>
      <w:r>
        <w:t>外层5折StratifiedKFold，内层3折Optuna TPE超参数优化(n_trials=100)。XGBoost和LightGBM施加KDE样本权重以增强尾部样本。TabPFN为零超参数基础模型。所有预处理（缺失值填补+特征工程）均封装在各Pipeline内部，杜绝数据泄露。</w:t>
      </w:r>
    </w:p>
    <w:p>
      <w:r>
        <w:rPr>
          <w:b/>
          <w:sz w:val="22"/>
        </w:rPr>
        <w:t>表1. 嵌套CV性能指标（按R²降序排列）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排名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管道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R²_mean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R²_std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RMSE_mean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RMSE_std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MAE_mean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b/>
                <w:sz w:val="18"/>
              </w:rPr>
              <w:t>MAPE_mean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TabPFN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0.9692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0.0103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10.73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2.28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4.12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7.99%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0.9528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0.0138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13.35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1.90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7.25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16.91%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0.9503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0.0120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13.75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2.02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7.69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20.63%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0.9449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0.0150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14.34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1.39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7.31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15.72%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0.9350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0.0196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15.67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2.48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8.67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18.66%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GPR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0.9299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0.0306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15.94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3.50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7.83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16.77%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0.9112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0.0226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18.28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2.54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8.32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14.99%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Ridge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0.3608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0.0804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49.66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5.90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35.73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81.95%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Lasso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0.3521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0.0774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5.77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36.43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sz w:val="18"/>
              </w:rPr>
              <w:t>81.77%</w:t>
            </w:r>
          </w:p>
        </w:tc>
      </w:tr>
    </w:tbl>
    <w:p/>
    <w:p>
      <w:r>
        <w:t>非线性-线性差距: 0.6084 (最优TabPFN: 0.9692 vs Ridge: 0.3608)。该差距远大于0.05阈值，充分支持本数据集需要非线性建模。</w:t>
      </w:r>
    </w:p>
    <w:p>
      <w:pPr>
        <w:pStyle w:val="Heading1"/>
      </w:pPr>
      <w:r>
        <w:t>2. 80/20 训练-测试分割结果</w:t>
      </w:r>
    </w:p>
    <w:p>
      <w:r>
        <w:t>单次分层80/20随机划分(random_state=42)。模型在272条训练样本上训练，在69条留出测试样本上评估。作为嵌套CV之外独立的外推性能验证。</w:t>
      </w:r>
    </w:p>
    <w:p>
      <w:r>
        <w:rPr>
          <w:b/>
          <w:sz w:val="22"/>
        </w:rPr>
        <w:t>表2. 80/20留出测试结果（按测试R²降序排列）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排名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训练R²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训练RMSE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测试R²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测试RMSE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测试MAE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b/>
                <w:sz w:val="18"/>
              </w:rPr>
              <w:t>测试MAPE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0.9993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1.66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0.9613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12.04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7.50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12.70%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0.9999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0.57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0.9556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12.89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7.71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15.57%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0.9993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1.61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0.9487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13.86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9.16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16.71%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0.9925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5.43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0.9472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14.06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8.89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17.72%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GPR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0.9877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6.94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0.9368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15.38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7.45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10.42%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TabPFN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0.9998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0.92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0.9343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15.68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5.96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6.50%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0.9647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11.75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0.8479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23.85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10.98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sz w:val="18"/>
              </w:rPr>
              <w:t>13.68%</w:t>
            </w:r>
          </w:p>
        </w:tc>
      </w:tr>
    </w:tbl>
    <w:p/>
    <w:p>
      <w:pPr>
        <w:pStyle w:val="Heading1"/>
      </w:pPr>
      <w:r>
        <w:t>3. TOPSIS 多准则综合排名</w:t>
      </w:r>
    </w:p>
    <w:p>
      <w:r>
        <w:t>层次熵权法（论文主方案）：组间领域知识权重——精度50% / 稳定性25% / 泛化25%。组内：熵权法客观赋权。MAE_mean因与RMSE_mean高度共线(r=0.997)被排除。</w:t>
      </w:r>
    </w:p>
    <w:p>
      <w:r>
        <w:rPr>
          <w:b/>
          <w:sz w:val="22"/>
        </w:rPr>
        <w:t>表3. TOPSIS层次熵权综合排名（论文主方案）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排名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贴近度C_i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熵权排名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CRITIC排名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8"/>
              </w:rPr>
              <w:t>极差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TabPFN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0.9456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0.9142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0.9022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0.8760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0.8517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0.8478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GPR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0.8035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Ridge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0.0312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Lasso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0.0236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#8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/>
    <w:p>
      <w:r>
        <w:t>敏感性分析：中游模型(GBDT, RF, LightGBM, SVR, GPR)在三种赋权方案(熵权、CRITIC、层次熵权)下排名完全一致(极差=0)，验证了排名的稳健性。CRITIC权重因n=9样本量有限，仅作敏感性分析参考。</w:t>
      </w:r>
    </w:p>
    <w:p>
      <w:pPr>
        <w:pStyle w:val="Heading1"/>
      </w:pPr>
      <w:r>
        <w:t>4. 核心发现总结</w:t>
      </w:r>
    </w:p>
    <w:p>
      <w:pPr>
        <w:spacing w:after="120"/>
      </w:pPr>
      <w:r>
        <w:rPr>
          <w:sz w:val="20"/>
        </w:rPr>
        <w:t>1. TabPFN（基础模型，零超参数）在嵌套CV中取得最优R²=0.9692，并在TOPSIS综合排名中以贴近度C_i=0.9456位列第一，验证了合成数据预训练可以有效迁移至本材料科学回归任务。</w:t>
      </w:r>
    </w:p>
    <w:p>
      <w:pPr>
        <w:spacing w:after="120"/>
      </w:pPr>
      <w:r>
        <w:rPr>
          <w:sz w:val="20"/>
        </w:rPr>
        <w:t>2. 树集成模型（GBDT, RF, XGBoost, LightGBM）嵌套CV R²均超过0.93，形成紧密的竞争集群。其中LightGBM在80/20留出测试中表现最优(R²=0.9613)，展现出较强的鲁棒性。</w:t>
      </w:r>
    </w:p>
    <w:p>
      <w:pPr>
        <w:spacing w:after="120"/>
      </w:pPr>
      <w:r>
        <w:rPr>
          <w:sz w:val="20"/>
        </w:rPr>
        <w:t>3. 核方法（GPR, SVR）表现具有竞争力但略低于树模型(CV R² = 0.9299 和 0.9112)，与其捕捉复杂特征交互能力有限的理论预期一致。</w:t>
      </w:r>
    </w:p>
    <w:p>
      <w:pPr>
        <w:spacing w:after="120"/>
      </w:pPr>
      <w:r>
        <w:rPr>
          <w:sz w:val="20"/>
        </w:rPr>
        <w:t>4. 线性基线模型（Ridge, Lasso）完全失效（CV R² &lt; 0.37），确认了MgO改性多孔碳体系中构效关系的强非线性本质。</w:t>
      </w:r>
    </w:p>
    <w:p>
      <w:pPr>
        <w:spacing w:after="120"/>
      </w:pPr>
      <w:r>
        <w:rPr>
          <w:sz w:val="20"/>
        </w:rPr>
        <w:t>5. SHAP可解释性分析中，GBDT TreeExplainer与TabPFN排列重要性高度一致(Spearman ρ=0.8796)。pressure_bar（操作压力）、microporosity（微孔率）和temperature_C（操作温度）在不同模型中一致被识别为最具影响力的特征。</w:t>
      </w:r>
    </w:p>
    <w:p>
      <w:pPr>
        <w:pStyle w:val="Heading1"/>
      </w:pPr>
      <w:r>
        <w:t>5. 输出文件清单</w:t>
      </w:r>
    </w:p>
    <w:p>
      <w:r>
        <w:rPr>
          <w:b/>
          <w:sz w:val="22"/>
        </w:rPr>
        <w:t>表4. 论文图表所需的关键输出文件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文件路径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outputs/tables/cv_results.json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全部9模型的嵌套CV完整指标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outputs/tables/cv_predictions.json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拼接后的逐折CV外推预测值（7个非线性模型）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outputs/tables/prediction_tables/Figure_4_*_Predictions.csv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80/20分割预测（每模型272训练+69测试）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outputs/tables/topsis_grouped.csv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TOPSIS层次熵权法排名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outputs/tables/topsis_entropy.csv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TOPSIS标准熵权法排名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outputs/tables/topsis_critic.csv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TOPSIS CRITIC权重排名（敏感性分析）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outputs/tables/entropy_weights.csv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熵权法各指标权重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outputs/tables/grouped_weights.csv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sz w:val="18"/>
              </w:rPr>
              <w:t>层次熵权法分层权重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