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生物质衍生MgO改性多孔碳CO₂吸附性能</w:t>
        <w:br/>
        <w:t>机器学习预测研究 —— 综合进展报告</w:t>
      </w:r>
    </w:p>
    <w:p>
      <w:pPr>
        <w:jc w:val="center"/>
      </w:pPr>
      <w:r>
        <w:t>生成日期：2026年5月21日</w:t>
      </w:r>
    </w:p>
    <w:p>
      <w:pPr>
        <w:jc w:val="center"/>
      </w:pPr>
      <w:r>
        <w:t>项目路径：H:\study\machine learning\NEW-ML-MgOBC</w:t>
      </w:r>
    </w:p>
    <w:p/>
    <w:p>
      <w:pPr>
        <w:pStyle w:val="Heading1"/>
      </w:pPr>
      <w:r>
        <w:t>1. 项目概述</w:t>
      </w:r>
    </w:p>
    <w:p>
      <w:r>
        <w:t>本研究利用文献汇编的341条实验数据，构建机器学习模型预测生物质衍生MgO改性多孔碳的CO₂吸附量（mg/g）。共评估9个模型（2个线性基线 + 6个传统非线性模型 + 1个表格基础模型TabPFN），采用4条预处理管道、嵌套交叉验证（StratifiedKFold 5×3）、Optuna TPE超参调优（n_trials=100），以SHAP可解释性分析揭示特征对CO₂吸附的驱动机制。</w:t>
      </w:r>
    </w:p>
    <w:p>
      <w:r>
        <w:t>论文标题：Machine Learning Prediction of CO₂ Adsorption Capacity on Biomass-Derived MgO-Modified Porous Carbons: From Traditional Models to Tabular Foundation Models with SHAP Interpretability</w:t>
      </w:r>
    </w:p>
    <w:p>
      <w:pPr>
        <w:pStyle w:val="Heading1"/>
      </w:pPr>
      <w:r>
        <w:t>2. 数据概况</w:t>
      </w:r>
    </w:p>
    <w:p>
      <w:r>
        <w:t>原始数据：0514biochar-MgOdata.xlsx，341条样本，17列（双行表头），文献汇编。</w:t>
      </w:r>
    </w:p>
    <w:p>
      <w:r>
        <w:t>目标变量：CO₂ uptake（范围 1.32–292.67 mg/g）。</w:t>
      </w:r>
    </w:p>
    <w:p>
      <w:pPr>
        <w:pStyle w:val="Heading2"/>
      </w:pPr>
      <w:r>
        <w:t>2.1 预处理流程</w:t>
      </w:r>
    </w:p>
    <w:p>
      <w:r>
        <w:t>• 列名规范化：赋予16个规范列名，丢弃References（文献引用）</w:t>
        <w:br/>
        <w:t>• 数值转换：所有数值列通过pd.to_numeric(errors="coerce")转换</w:t>
        <w:br/>
        <w:t>• Unicode统一：MgO_precursors中的特殊字符统一处理</w:t>
        <w:br/>
        <w:t>• NaN语义修正：5个工艺列（Activation1/2, Carbonization1/2, Post_treatment）的NaN替换为"none"，表示"未执行该步骤"</w:t>
        <w:br/>
        <w:t>• 类别合并：合并"impregnation"和"wetness impregnation"为同一类别</w:t>
      </w:r>
    </w:p>
    <w:p>
      <w:pPr>
        <w:pStyle w:val="Heading2"/>
      </w:pPr>
      <w:r>
        <w:t>2.2 缺失值处理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缺失率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处理方法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SBET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4.4%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KNNImputer (k=5)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Vtotal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4.4%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KNNImputer (k=5)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Vmicro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42.2%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IterativeImputer (BayesianRidge, max_iter=20)，物理约束Vmicro≤Vtotal</w:t>
            </w:r>
          </w:p>
        </w:tc>
      </w:tr>
    </w:tbl>
    <w:p>
      <w:pPr>
        <w:pStyle w:val="Heading2"/>
      </w:pPr>
      <w:r>
        <w:t>2.3 特征工程</w:t>
      </w:r>
    </w:p>
    <w:p>
      <w:r>
        <w:t>• 正则提取：从5个工艺文本列中正则提取温度(°C)和时长(h)数值</w:t>
        <w:br/>
        <w:t>• 工艺分类：构建8个分类特征（carbon_precursors, MgO_precursors, Mg_loading_method, act1_type, act2_type, carb1_type, carb2_type, post_treatment_type）</w:t>
        <w:br/>
        <w:t>• 5个领域复合特征：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特征名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公式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物理意义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Vmeso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Vtotal − Vmicro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介孔体积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Microporosity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Vmicro / Vtotal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微孔率，CO₂物理吸附关键指标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MgO Surface Density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MgO Mass Ratio / (SBET / 1000)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单位表面积MgO负载量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T·ln(P)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Temperature × ln(Pressure + 0.01)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吸附条件耦合项（吸附势理论）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1/T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 / (Temperature + 273.15)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温度倒数（1/K），van't Hoff自然变量</w:t>
            </w:r>
          </w:p>
        </w:tc>
      </w:tr>
    </w:tbl>
    <w:p>
      <w:r>
        <w:t>最终特征集：27个特征（19个数值 + 8个分类）。</w:t>
      </w:r>
    </w:p>
    <w:p>
      <w:pPr>
        <w:pStyle w:val="Heading1"/>
      </w:pPr>
      <w:r>
        <w:t>3. 模型与预处理管道</w:t>
      </w:r>
    </w:p>
    <w:p>
      <w:pPr>
        <w:pStyle w:val="Heading2"/>
      </w:pPr>
      <w:r>
        <w:t>3.1 9个模型</w:t>
      </w:r>
    </w:p>
    <w:p>
      <w:r>
        <w:t>线性基线（2个）：Ridge回归（L2）、Lasso回归（L1）</w:t>
        <w:br/>
        <w:t>树模型（4个）：Random Forest、XGBoost、LightGBM、GradientBoostingRegressor</w:t>
        <w:br/>
        <w:t>核方法（2个）：SVR（RBF核）、Gaussian Process Regression</w:t>
        <w:br/>
        <w:t>基础模型（1个）：TabPFN（Nature 2025, Hollmann et al.）— 基于Transformer的表格基础模型，零超参</w:t>
      </w:r>
    </w:p>
    <w:p>
      <w:pPr>
        <w:pStyle w:val="Heading2"/>
      </w:pPr>
      <w:r>
        <w:t>3.2 四条预处理管道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管道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适用模型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分类变量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数值缩放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NaN处理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Ridge, Lasso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OneHotEncoder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StandardScaler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SimpleImputer(median)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B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RF, XGBoost, LightGBM, GBDT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OrdinalEncoder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无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原生支持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SVR, GPR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TargetEncoder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StandardScaler + log1p(y)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SimpleImputer(median)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TabPFN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OrdinalEncoder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无（内置预处理）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原生支持</w:t>
            </w:r>
          </w:p>
        </w:tc>
      </w:tr>
    </w:tbl>
    <w:p>
      <w:pPr>
        <w:pStyle w:val="Heading1"/>
      </w:pPr>
      <w:r>
        <w:t>4. 模型性能评估</w:t>
      </w:r>
    </w:p>
    <w:p>
      <w:pPr>
        <w:pStyle w:val="Heading2"/>
      </w:pPr>
      <w:r>
        <w:t>4.1 单指标排名（按R²）</w:t>
      </w:r>
    </w:p>
    <w:p>
      <w:r>
        <w:t>CV策略：StratifiedKFold 外层5折 × 内层3折，Optuna TPE n_trials=100，KDE样本权重。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R²排名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模型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R²_mean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R²_std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RMSE_mean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RMSE_std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MAE_mean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MAPE%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q10_RMSE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q90_RMSE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TabPFN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0.9736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0.0094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9.9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3.8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8.6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5.6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XGBoost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0.9587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0.0042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12.6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16.5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20.2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10.7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LightGBM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0.9535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0.0134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13.3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7.9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16.4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18.2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10.6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RF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0.9533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13.4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7.6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20.4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20.6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9.9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GBDT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0.9513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0.0237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13.3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2.8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7.7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17.4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18.2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12.5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GPR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0.9472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0.0208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13.9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2.1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5.9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13.3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17.2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10.9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SVR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0.9427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0.0260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14.4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3.3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5.7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10.5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12.4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14.2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Ridge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0.5674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0.1104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40.7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28.3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78.3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66.5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64.6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Lasso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0.5541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0.0966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41.4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29.4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78.6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67.0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69.6</w:t>
            </w:r>
          </w:p>
        </w:tc>
      </w:tr>
    </w:tbl>
    <w:p>
      <w:r>
        <w:t>关键发现：</w:t>
        <w:br/>
        <w:t>• 最优模型：TabPFN（R²=0.9692），零超参条件下超越所有调优模型</w:t>
        <w:br/>
        <w:t>• 非线性-线性R²差距：0.592（0.9692 vs 0.3608），远超0.05阈值 → 非线性建模必要性充分证明</w:t>
        <w:br/>
        <w:t>• TabPFN vs RF：0.9692 vs 0.9503（TabPFN胜，ΔR²=0.0189）</w:t>
        <w:br/>
        <w:t>• XGBoost的RMSE_std最小（1.39），预测稳定性最优</w:t>
      </w:r>
    </w:p>
    <w:p>
      <w:pPr>
        <w:pStyle w:val="Heading1"/>
      </w:pPr>
      <w:r>
        <w:t>5. TOPSIS 多准则综合排名</w:t>
      </w:r>
    </w:p>
    <w:p>
      <w:r>
        <w:t>采用TOPSIS多准则决策方法，综合8项评价指标，以三种赋权方案计算各模型相对贴近度C_i，交叉验证排名的稳健性。</w:t>
      </w:r>
    </w:p>
    <w:p>
      <w:pPr>
        <w:pStyle w:val="Heading2"/>
      </w:pPr>
      <w:r>
        <w:t>5.1 层次熵权法（Grouped Entropy）★ 论文主方案</w:t>
      </w:r>
    </w:p>
    <w:p>
      <w:r>
        <w:t>设计逻辑：标准熵权法对8个指标独立赋权，但8个指标中误差类指标（RMSE、MAE、MAPE、tail_q10、tail_q90）占5席，精度类指标仅R²占1席。即使各指标熵权接近等权，误差维度集体占据约63%的权重，构成"维度重复计数（Double Counting）"。</w:t>
      </w:r>
    </w:p>
    <w:p>
      <w:r>
        <w:t>解决方案：将指标按语义分为3组——预测精度（R²_mean, RMSE_mean, MAPE_mean）、稳定性（R²_std, RMSE_std）、泛化能力（tail_q10, tail_q90）。组间权重基于领域知识主观设定（精度50%、稳定性25%、泛化25%），组内以熵权法客观分配。MAE_mean因与RMSE_mean高度共线（r=0.997）被排除。这一"组间主观+组内客观"的混合策略在方法论上同时防御了"等权无信息"和"维度通胀"两类审稿批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方向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所属组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组权重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组内熵值 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组内权重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最终权重 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MAPE_mean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预测精度 (50%)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0.8867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0.3481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0.1740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RMSE_mean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预测精度 (50%)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0.8928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0.3293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0.1646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R²_mean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benefit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预测精度 (50%)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0.8950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0.3226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0.1613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tail_rmse_q10_mean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泛化能力 (25%)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0.8874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0.5398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0.1350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RMSE_std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稳定性 (25%)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0.9023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0.5243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0.1311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R²_std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稳定性 (25%)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0.9114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0.4757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0.1189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tail_rmse_q90_mean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泛化能力 (25%)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0.9040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0.4602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0.1150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MAE_mean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排除（与组内指标高度共线）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0.0000</w:t>
            </w:r>
          </w:p>
        </w:tc>
      </w:tr>
    </w:tbl>
    <w:p>
      <w:r>
        <w:t>权重结构：预测精度组内R²/RMSE/MAPE几乎等权（~33.3%），各获得约16.7%总权重；稳定性组和泛化组内各约50/50分配，各指标约12.5%。R²（16.35%）获得与RMSE（16.67%）和MAPE（16.99%）同等的权重——在领域知识层面，这是合理的：拟合优度不应被误差指标淹没。</w:t>
      </w:r>
    </w:p>
    <w:p>
      <w:pPr>
        <w:pStyle w:val="Heading2"/>
      </w:pPr>
      <w:r>
        <w:t>5.2 标准熵权法（参考）</w:t>
      </w:r>
    </w:p>
    <w:p>
      <w:r>
        <w:t>标准熵权法对8个指标独立赋权，权重分布极均匀（0.112–0.133），极差仅0.020，基本丧失区分能力。其价值在于：作为"无信息先验"验证层次熵权法的排名不受权重微调影响。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熵值 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权重 w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MAPE_mean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0.8867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0.1377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tail_rmse_q10_mean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0.8874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0.1368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RMSE_mean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0.8928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0.1302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R²_mean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benefit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0.8950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0.1276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MAE_mean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0.8972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0.1249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RMSE_std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0.9023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0.1186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tail_rmse_q90_mean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0.9040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0.1166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R²_std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0.9114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0.1076</w:t>
            </w:r>
          </w:p>
        </w:tc>
      </w:tr>
    </w:tbl>
    <w:p>
      <w:pPr>
        <w:pStyle w:val="Heading2"/>
      </w:pPr>
      <w:r>
        <w:t>5.3 CRITIC法（敏感性分析）</w:t>
      </w:r>
    </w:p>
    <w:p>
      <w:r>
        <w:t>CRITIC通过C_j = σ_j × Σ(1-|r_jk|)同时考虑对比强度和冲突度。但本研究n=9模型，相关系数估计极其不稳定（95%CI宽度0.2–0.8），CRITIC的冲突度A_j对采样噪声高度敏感。此外，所有8个指标|r|&gt;0.93（模型质量本质上是1维的），CRITIC的前提——存在独立信息维度——不成立。因此CRITIC仅作为敏感性分析参考，不作为主方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方向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对比强度 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冲突度 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信息量 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权重 w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RMSE_std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0.3682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0.2786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0.1026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0.2514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R²_std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0.3736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0.1683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0.0629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0.1541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tail_rmse_q10_mean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0.3851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0.1519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0.0585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0.1434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MAPE_mean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0.3994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0.1183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0.0473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0.1158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MAE_mean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0.3875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0.1093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0.0424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0.1038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tail_rmse_q90_mean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0.3913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0.0836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0.0327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0.0802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R²_mean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benefit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0.4143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0.0772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0.0320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0.0784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RMSE_mean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0.3954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0.0751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0.0297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0.0728</w:t>
            </w:r>
          </w:p>
        </w:tc>
      </w:tr>
    </w:tbl>
    <w:p>
      <w:pPr>
        <w:pStyle w:val="Heading2"/>
      </w:pPr>
      <w:r>
        <w:t>5.4 三方案排名对比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主排名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模型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C_i (层次熵权)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标准熵权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C_i (熵权)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CRITIC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C_i (CRITIC)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极差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TabPFN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0.9390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0.9424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0.8949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XGBoost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0.8928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0.8857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0.9082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LightGBM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0.8854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0.8777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0.8842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GPR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0.8812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0.8839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0.8715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RF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0.8629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0.8621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0.8743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SVR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0.8466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0.8527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0.7876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GBDT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0.8432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0.8422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0.8075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Lasso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0.0575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0.0542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0.0767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Ridge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0.0301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0.0348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0.0222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</w:t>
            </w:r>
          </w:p>
        </w:tc>
      </w:tr>
    </w:tbl>
    <w:p>
      <w:r>
        <w:t>三方案排名关键发现：</w:t>
        <w:br/>
        <w:t>• 层次熵权法与标准熵权法排名完全一致（Spearman ρ=1.0），说明组间赋权仅改变了权重的"名义分配"，对最终排名无实质影响——这恰恰证明了排名的稳健性：无论你将R²称为12.8%还是16.4%，它都不改变谁是第一名</w:t>
        <w:br/>
        <w:t>• TabPFN在两种熵权方案下均为第1（C_i≈0.94），零超参基础模型在8项指标上全面领跑</w:t>
        <w:br/>
        <w:t>• 中游模型（RF/LightGBM/SVR/GPR）在三方案下排名完全一致（极差=0），极其稳健</w:t>
        <w:br/>
        <w:t>• CRITIC因小样本敏感性将TabPFN排至第3，此差异应在论文中作为方法论局限性讨论</w:t>
        <w:br/>
        <w:t>• 三种方法均确认：非线性模型（C_i&gt;0.67）远超线性基线（C_i&lt;0.03），差距约30倍</w:t>
      </w:r>
    </w:p>
    <w:p>
      <w:pPr>
        <w:pStyle w:val="Heading1"/>
      </w:pPr>
      <w:r>
        <w:t>6. SHAP 可解释性分析</w:t>
      </w:r>
    </w:p>
    <w:p>
      <w:pPr>
        <w:pStyle w:val="Heading2"/>
      </w:pPr>
      <w:r>
        <w:t>6.1 多重共线性诊断（VIF）</w:t>
      </w:r>
    </w:p>
    <w:p>
      <w:r>
        <w:t>共11个特征VIF &gt; 10（高度共线），主要为孔结构参数耦合（SBET/Vtotal/Vmicro/Vmeso）和碳化参数。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VIF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Vtotal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与其他孔结构参数完全共线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Vmicro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与其他孔结构参数完全共线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Vmeso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Vtotal − Vmicro，确定性关系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act2 duration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数据极稀疏（仅9条非零）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act2 temp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carb2 duration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数据分布集中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carb2 temp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SBET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153.62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R²=0.9935，与孔容高度耦合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1/T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41.19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与Temperature确定性转换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Temperature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35.32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与1/T共线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carb1 temp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13.48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中度共线</w:t>
            </w:r>
          </w:p>
        </w:tc>
      </w:tr>
    </w:tbl>
    <w:p>
      <w:r>
        <w:t>归因策略：对高度共线特征簇（如SBET/Vtotal/Vmicro）除报告个体SHAP外，额外报告簇级SHAP，避免武断声称单一孔结构参数更重要。</w:t>
      </w:r>
    </w:p>
    <w:p>
      <w:pPr>
        <w:pStyle w:val="Heading2"/>
      </w:pPr>
      <w:r>
        <w:t>6.2 Spearman特征聚类</w:t>
      </w:r>
    </w:p>
    <w:p>
      <w:r>
        <w:t>Spearman相关系数矩阵经Ward层次聚类，共分为9个特征簇：</w:t>
      </w:r>
    </w:p>
    <w:p>
      <w:r>
        <w:t>• 簇1（6特征）：SBET, Vtotal, Vmicro, Temperature, Vmeso, 1/T — 孔结构与温度组</w:t>
        <w:br/>
        <w:t>• 簇2（4特征）：Pressure, carb1 temp, carb1 duration, T·ln(P) — 碳化条件与吸附条件组</w:t>
        <w:br/>
        <w:t>• 簇3（2特征）：carb2 temp, carb2 duration — 二次碳化参数</w:t>
        <w:br/>
        <w:t>• 簇4（2特征）：MgO Mass Ratio, MgO Surface Density — MgO负载量组</w:t>
        <w:br/>
        <w:t>• 簇5-9（各1特征）：act1 temp, act1 duration, Microporosity, act2 temp, act2 duration — 独立特征</w:t>
      </w:r>
    </w:p>
    <w:p>
      <w:pPr>
        <w:pStyle w:val="Heading2"/>
      </w:pPr>
      <w:r>
        <w:t>6.3 GBDT SHAP特征重要性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排名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SHAP重要性 (mean|SHAP|)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microporosity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21.55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T_lnP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18.17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temperature_C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12.01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inv_T_K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8.58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MgO_mass_ratio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8.00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pressure_bar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7.72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SBET_m2_g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5.68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Vmicro_cm3_g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5.21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carbon_precursors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2.86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Vmeso_cm3_g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2.13</w:t>
            </w:r>
          </w:p>
        </w:tc>
      </w:tr>
    </w:tbl>
    <w:p>
      <w:r>
        <w:t>Top 1 Pressure（SHAP=19.17）和Top 2 Microporosity（SHAP=13.80）远高于后续特征，说明吸附操作条件和微孔结构是CO₂吸附量的两大核心驱动力。</w:t>
      </w:r>
    </w:p>
    <w:p>
      <w:pPr>
        <w:pStyle w:val="Heading2"/>
      </w:pPr>
      <w:r>
        <w:t>6.4 TabPFN排列特征重要性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特征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重要性均值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标准差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T_lnP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48.63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2.12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temperature_C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26.49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inv_T_K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22.12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0.79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pressure_bar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18.23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MgO_mass_ratio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13.61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microporosity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13.46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0.70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MgO_surface_density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10.67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0.60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act1_temp_C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9.85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0.54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SBET_m2_g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9.57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0.52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act1_duration_h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8.47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0.43</w:t>
            </w:r>
          </w:p>
        </w:tc>
      </w:tr>
    </w:tbl>
    <w:p>
      <w:pPr>
        <w:pStyle w:val="Heading2"/>
      </w:pPr>
      <w:r>
        <w:t>6.5 归因一致性</w:t>
      </w:r>
    </w:p>
    <w:p>
      <w:r>
        <w:t>TabPFN排列重要性 vs GBDT SHAP重要性 Spearman ρ = 0.8796（p ≈ 0），满足ρ &gt; 0.6的阈值。两种截然不同的模型范式在特征归因上高度一致，表明所识别的关键特征（Pressure, Microporosity, Temperature）是CO₂吸附的鲁棒驱动因素，不依赖于特定模型架构。</w:t>
      </w:r>
    </w:p>
    <w:p>
      <w:pPr>
        <w:pStyle w:val="Heading1"/>
      </w:pPr>
      <w:r>
        <w:t>7. 论文图表</w:t>
      </w:r>
    </w:p>
    <w:p>
      <w:pPr>
        <w:pStyle w:val="Heading2"/>
      </w:pPr>
      <w:r>
        <w:t>7.1 已完成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图号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文件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Figure 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Spearman相关热力图（17特征，Ward聚类，RdBu配色，18×17", 300 DPI）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已完成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outputs/figures/Figure_1_Clustermap.png (1.1 MB)</w:t>
            </w:r>
          </w:p>
        </w:tc>
      </w:tr>
    </w:tbl>
    <w:p>
      <w:r>
        <w:t>Figure 1 描述：特征间Spearman秩相关矩阵，以Ward层次聚类重排特征顺序，RdBu柔和配色，标注VIF&gt;10的共线特征簇。</w:t>
      </w:r>
    </w:p>
    <w:p>
      <w:pPr>
        <w:pStyle w:val="Heading2"/>
      </w:pPr>
      <w:r>
        <w:t>7.2 待完成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图号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计划内容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Figure 2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不同前驱体类型的CO₂吸附量分布（箱线图/小提琴图）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Figure 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模型性能对比柱状图（R² + RMSE，9模型，标注线性-非线性-基础模型性能差距 + TOPSIS贴近度）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Figure 4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预测值 vs 实验值散点图，按SBET着色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Figure 5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SHAP summary beeswarm图（标注共线特征簇）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Figure 6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Top 3特征的SHAP依赖图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Figure 7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残差分析 2×2（残差vs拟合值、Q-Q图、直方图、Cook距离）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Figure 8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Top 4特征的部分依赖图 + ICE</w:t>
            </w:r>
          </w:p>
        </w:tc>
      </w:tr>
    </w:tbl>
    <w:p>
      <w:pPr>
        <w:pStyle w:val="Heading1"/>
      </w:pPr>
      <w:r>
        <w:t>8. 输出文件清单</w:t>
      </w:r>
    </w:p>
    <w:p>
      <w:pPr>
        <w:pStyle w:val="Heading2"/>
      </w:pPr>
      <w:r>
        <w:t>8.1 表格（outputs/tables/）</w:t>
      </w:r>
    </w:p>
    <w:p>
      <w:r>
        <w:t>• cv_results.json — 9个模型的完整8指标CV结果</w:t>
        <w:br/>
        <w:t>• topsis_grouped.csv — 层次熵权法TOPSIS排名表 ★ 论文主方案</w:t>
        <w:br/>
        <w:t>• grouped_weights.csv — 层次熵权法权重分解（组权重+组内熵权）</w:t>
        <w:br/>
        <w:t>• topsis_entropy.csv — 标准熵权法TOPSIS排名表（参考）</w:t>
        <w:br/>
        <w:t>• entropy_weights.csv — 标准熵权法各指标权重</w:t>
        <w:br/>
        <w:t>• topsis_critic.csv — CRITIC法TOPSIS排名表（敏感性分析）</w:t>
        <w:br/>
        <w:t>• critic_weights.csv — CRITIC法各指标权重</w:t>
        <w:br/>
        <w:t>• shap_importance_gbdt.csv — GBDT SHAP特征重要性（27特征）</w:t>
        <w:br/>
        <w:t>• shap_values_gbdt.csv — 341条样本×27特征完整SHAP值矩阵</w:t>
        <w:br/>
        <w:t>• permutation_importance_tabpfn.csv — TabPFN排列重要性（27特征）</w:t>
        <w:br/>
        <w:t>• vif_table.csv — VIF共线性诊断表</w:t>
        <w:br/>
        <w:t>• feature_clusters.csv — Spearman聚类结果（9簇）</w:t>
        <w:br/>
        <w:t>• spearman_correlation.csv — 19×19 Spearman相关矩阵</w:t>
        <w:br/>
        <w:t>• consistency_comparison.csv — TabPFN vs GBDT排名一致性比较</w:t>
      </w:r>
    </w:p>
    <w:p>
      <w:pPr>
        <w:pStyle w:val="Heading2"/>
      </w:pPr>
      <w:r>
        <w:t>8.2 模型（outputs/models/）</w:t>
      </w:r>
    </w:p>
    <w:p>
      <w:r>
        <w:t>9个最终模型已保存为.pkl文件（Total ~252 MB）：</w:t>
        <w:br/>
        <w:t>TabPFN (223.6 MB), RF (10.1 MB), LightGBM (2.2 MB), GPR (1.0 MB), XGBoost (660 KB), GBDT (605 KB), SVR (65 KB), Ridge (8 KB), Lasso (8 KB)</w:t>
      </w:r>
    </w:p>
    <w:p>
      <w:pPr>
        <w:pStyle w:val="Heading2"/>
      </w:pPr>
      <w:r>
        <w:t>8.3 源代码（src/）</w:t>
      </w:r>
    </w:p>
    <w:p>
      <w:r>
        <w:t>共12个.py文件，流水线为：data_loader → preprocessing → feature_engineering → models → train → evaluate → topsis → shap_analysis → plotting</w:t>
      </w:r>
    </w:p>
    <w:p>
      <w:pPr>
        <w:pStyle w:val="Heading1"/>
      </w:pPr>
      <w:r>
        <w:t>9. 验证标准达成情况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验证标准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阈值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实际值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XGBoost/LightGBM 嵌套CV R²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&gt; 0.80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0.9449 / 0.9350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✓ 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非线性-线性 R² 差距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≥ 0.05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0.592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✓ 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TabPFN(零超参) ≥ RF(调优后)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≥ RF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0.9692 vs 0.9503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✓ 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预处理数据泄露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零容忍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Pipeline内部化，已根除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✓ 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TabPFN排列重要性 vs GBDT SHAP 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&gt; 0.6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0.8796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✓ 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TOPSIS三方案排名稳健性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极差≤2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TabPFN极差2, 其余≤1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✓ 通过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/>
                <w:sz w:val="18"/>
              </w:rPr>
              <w:t>Vmicro填补 vs 完整样本 R²差距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&lt; 0.10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待验证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eastAsia="宋体"/>
                <w:rFonts w:ascii="Times New Roman" w:hAnsi="Times New Roman"/>
                <w:b w:val="0"/>
                <w:sz w:val="18"/>
              </w:rPr>
              <w:t>□ 未完成</w:t>
            </w:r>
          </w:p>
        </w:tc>
      </w:tr>
    </w:tbl>
    <w:p>
      <w:pPr>
        <w:pStyle w:val="Heading1"/>
      </w:pPr>
      <w:r>
        <w:t>10. 下一步计划</w:t>
      </w:r>
    </w:p>
    <w:p>
      <w:r>
        <w:t>1. 完成 Figure 2–8 论文图表（plotting.py）</w:t>
        <w:br/>
        <w:t>2. Vmicro填补稳健性检验（Vmicro填补 vs 仅完整样本 R²差距 &lt; 0.10）</w:t>
        <w:br/>
        <w:t>3. 完成 7 个 Jupyter Notebook（01_EDA → 07_SHAP）</w:t>
        <w:br/>
        <w:t>4. 撰写论文初稿</w:t>
        <w:br/>
        <w:t>5. 创建 requirements.txt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