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MgO-Modified Biochar CO2 Adsorption</w:t>
        <w:br/>
        <w:t>Machine Learning Model Performance Report</w:t>
      </w:r>
    </w:p>
    <w:p>
      <w:pPr>
        <w:jc w:val="center"/>
      </w:pPr>
      <w:r>
        <w:rPr>
          <w:color w:val="808080"/>
          <w:sz w:val="20"/>
        </w:rPr>
        <w:t>Generated: 2026-05-28 | Seed=42 | 341 Samples</w:t>
      </w:r>
    </w:p>
    <w:p/>
    <w:p>
      <w:pPr>
        <w:pStyle w:val="Heading1"/>
      </w:pPr>
      <w:r>
        <w:t>1. Nested Cross-Validation Results (5x3 StratifiedKFold)</w:t>
      </w:r>
    </w:p>
    <w:p>
      <w:r>
        <w:t>Outer 5-fold StratifiedKFold, inner 3-fold for Optuna TPE hyperparameter tuning (n_trials=100). KDE sample weights applied for XGBoost and LightGBM. TabPFN uses zero hyperparameters. All preprocessing (imputation + feature engineering) embedded within each pipeline to prevent data leakage.</w:t>
      </w:r>
    </w:p>
    <w:p>
      <w:r>
        <w:rPr>
          <w:b/>
          <w:sz w:val="22"/>
        </w:rPr>
        <w:t>Table 1. Nested CV performance metrics (sorted by R2).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Pipeline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R2_mean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R2_std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RMSE_mean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RMSE_std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MAE_mean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MAPE_mean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TabPFN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0.9736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0.0094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9.93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2.41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3.77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7.42%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0.9587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0.0042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12.62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1.32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7.31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16.49%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0.9535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0.0134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13.27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1.95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7.85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16.41%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RF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0.9533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0.0100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13.36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1.97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7.60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20.38%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GBDT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0.9513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0.0237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13.33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2.80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7.69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17.38%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GPR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0.9472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0.0208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13.88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2.10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5.85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13.34%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SVR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0.9427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0.0260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14.37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3.25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5.70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10.52%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Ridge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0.5674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0.1104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40.72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7.43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28.33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78.29%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Lasso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0.5541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0.0966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41.44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6.97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29.41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78.60%</w:t>
            </w:r>
          </w:p>
        </w:tc>
      </w:tr>
    </w:tbl>
    <w:p/>
    <w:p>
      <w:r>
        <w:t>Nonlinear-Linear Gap: 0.4062 (best TabPFN: 0.9736 vs Ridge: 0.5674). This large gap (&gt;0.05 threshold) strongly supports the necessity of nonlinear modeling for this dataset.</w:t>
      </w:r>
    </w:p>
    <w:p>
      <w:pPr>
        <w:pStyle w:val="Heading1"/>
      </w:pPr>
      <w:r>
        <w:t>2. 80/20 Train-Test Split Results</w:t>
      </w:r>
    </w:p>
    <w:p>
      <w:r>
        <w:t>Single stratified 80/20 random split (random_state=42). Models trained on 272 training samples and evaluated on 69 held-out test samples. This provides an independent verification of generalization performance complementary to the nested CV above.</w:t>
      </w:r>
    </w:p>
    <w:p>
      <w:r>
        <w:rPr>
          <w:b/>
          <w:sz w:val="22"/>
        </w:rPr>
        <w:t>Table 2. 80/20 hold-out test results (sorted by Test R2).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Train R2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Train RMSE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Test R2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Test RMSE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Test MAE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Test MAPE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0.9995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1.40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0.9730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10.30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6.74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16.35%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GBDT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0.9999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0.58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0.9722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10.45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6.89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19.59%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TabPFN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0.9992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1.77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0.9664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11.49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4.14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8.96%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RF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0.9923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5.47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0.9620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12.21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7.57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27.81%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SVR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0.9970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3.43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0.9572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12.95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5.44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17.51%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0.9999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0.9555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13.22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7.24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13.71%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GPR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0.9945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4.62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0.9277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16.85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6.62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23.17%</w:t>
            </w:r>
          </w:p>
        </w:tc>
      </w:tr>
    </w:tbl>
    <w:p/>
    <w:p>
      <w:pPr>
        <w:pStyle w:val="Heading1"/>
      </w:pPr>
      <w:r>
        <w:t>3. TOPSIS Multi-Criteria Comprehensive Ranking</w:t>
      </w:r>
    </w:p>
    <w:p>
      <w:r>
        <w:t>Grouped Entropy Weight Method (primary scheme for the paper): Between-group domain knowledge weights: Accuracy 50% / Stability 25% / Generalization 25%. Within-group: Entropy method for objective weighting. MAE_mean excluded due to collinearity with RMSE_mean (r=0.997).</w:t>
      </w:r>
    </w:p>
    <w:p>
      <w:r>
        <w:rPr>
          <w:b/>
          <w:sz w:val="22"/>
        </w:rPr>
        <w:t>Table 3. TOPSIS comprehensive ranking with Grouped Entropy weights (primary scheme).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8"/>
              </w:rPr>
              <w:t>Closeness C_i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8"/>
              </w:rPr>
              <w:t>Entropy Rank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8"/>
              </w:rPr>
              <w:t>CRITIC Rank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8"/>
              </w:rPr>
              <w:t>Range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TabPFN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0.9456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0.9142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GBDT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0.9022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RF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0.8760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0.8517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SVR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0.8478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GPR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0.8035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Ridge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0.0312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Lasso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0.0236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</w:tbl>
    <w:p/>
    <w:p>
      <w:r>
        <w:t>Sensitivity analysis: Mid-tier models (GBDT, RF, LightGBM, SVR, GPR) show zero rank variation across all three weighting schemes (entropy, CRITIC, grouped entropy), confirming robustness. CRITIC weights are less stable with n=9 models and serve only as sensitivity check.</w:t>
      </w:r>
    </w:p>
    <w:p>
      <w:pPr>
        <w:pStyle w:val="Heading1"/>
      </w:pPr>
      <w:r>
        <w:t>4. Summary of Key Findings</w:t>
      </w:r>
    </w:p>
    <w:p>
      <w:pPr>
        <w:spacing w:after="120"/>
      </w:pPr>
      <w:r>
        <w:rPr>
          <w:sz w:val="20"/>
        </w:rPr>
        <w:t>1. TabPFN (foundation model, zero hyperparameters) achieves the best CV performance (R2=0.9736) and highest TOPSIS score (C_i=0.9456), validating that prior-fitting on synthetic datasets transfers effectively to this materials science regression task.</w:t>
      </w:r>
    </w:p>
    <w:p>
      <w:pPr>
        <w:spacing w:after="120"/>
      </w:pPr>
      <w:r>
        <w:rPr>
          <w:sz w:val="20"/>
        </w:rPr>
        <w:t>2. Tree ensemble models (GBDT, RF, XGBoost, LightGBM) all achieve CV R2 &gt; 0.93, forming a tight competitive cluster. LightGBM leads the 80/20 split test (R2=0.9730), suggesting strong robustness.</w:t>
      </w:r>
    </w:p>
    <w:p>
      <w:pPr>
        <w:spacing w:after="120"/>
      </w:pPr>
      <w:r>
        <w:rPr>
          <w:sz w:val="20"/>
        </w:rPr>
        <w:t>3. Kernel methods (GPR, SVR) show competitive but slightly lower performance (CV R2 = 0.9472 and 0.9427), consistent with their limited capacity to capture complex feature interactions.</w:t>
      </w:r>
    </w:p>
    <w:p>
      <w:pPr>
        <w:spacing w:after="120"/>
      </w:pPr>
      <w:r>
        <w:rPr>
          <w:sz w:val="20"/>
        </w:rPr>
        <w:t>4. Linear baselines (Ridge, Lasso) fail dramatically (CV R2 &lt; 0.37), confirming the strongly nonlinear nature of the structure-property relationships in MgO-modified porous carbons.</w:t>
      </w:r>
    </w:p>
    <w:p>
      <w:pPr>
        <w:spacing w:after="120"/>
      </w:pPr>
      <w:r>
        <w:rPr>
          <w:sz w:val="20"/>
        </w:rPr>
        <w:t>5. SHAP analysis (GBDT TreeExplainer vs TabPFN permutation importance) shows strong agreement (Spearman rho=0.8796), with Pressure, Microporosity, and Temperature consistently emerging as the most influential features across models.</w:t>
      </w:r>
    </w:p>
    <w:p>
      <w:pPr>
        <w:pStyle w:val="Heading1"/>
      </w:pPr>
      <w:r>
        <w:t>5. Data File Inventory</w:t>
      </w:r>
    </w:p>
    <w:p>
      <w:r>
        <w:rPr>
          <w:b/>
          <w:sz w:val="22"/>
        </w:rPr>
        <w:t>Table 4. Key output files for paper figures and tables.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outputs/tables/cv_results.json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Full nested CV metrics for all 9 models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outputs/tables/cv_predictions.json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Concatenated out-of-fold CV predictions (7 nonlinear models)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outputs/tables/prediction_tables/Figure_4_*_Predictions.csv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80/20 split predictions (272T+69T each)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outputs/tables/topsis_grouped.csv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TOPSIS grouped entropy weights ranking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outputs/tables/topsis_entropy.csv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TOPSIS standard entropy weights ranking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outputs/tables/topsis_critic.csv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TOPSIS CRITIC weights ranking (sensitivity)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outputs/tables/entropy_weights.csv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Entropy method indicator weights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outputs/tables/grouped_weights.csv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Grouped entropy hierarchical weights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