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Figure 2 数值特征标准化箱线图 分析报告</w:t>
      </w:r>
    </w:p>
    <w:p>
      <w:r>
        <w:t>本报告对生物质衍生MgO改性多孔碳数据集的17个数值特征进行分布分析，作为论文Figure 2箱线图的配套说明文档。所有特征经Z-score标准化后绘制，按领域知识分为5组，以不同颜色区分。</w:t>
      </w:r>
    </w:p>
    <w:p>
      <w:pPr>
        <w:pStyle w:val="Heading1"/>
      </w:pPr>
      <w:r>
        <w:t>1 数据概览</w:t>
      </w:r>
    </w:p>
    <w:p>
      <w:r>
        <w:t>数据集共341条样本，原始数值特征19个。排除2个零方差特征（act2_temp_C, act2_duration_h），最终纳入箱线图分析的特征17个。</w:t>
      </w:r>
    </w:p>
    <w:p>
      <w:r>
        <w:t>目标变量：CO2吸附量（T = 0度C, P = 1 bar），范围 1.3-292.7 mg/g，均值 99.6 +/- 62.4 mg/g。</w:t>
      </w:r>
    </w:p>
    <w:p>
      <w:pPr>
        <w:pStyle w:val="Heading1"/>
      </w:pPr>
      <w:r>
        <w:t>2 分组分布特征分析</w:t>
      </w:r>
    </w:p>
    <w:p>
      <w:pPr>
        <w:pStyle w:val="Heading2"/>
      </w:pPr>
      <w:r>
        <w:t>2.1 孔结构特征</w:t>
      </w:r>
    </w:p>
    <w:p>
      <w:r>
        <w:t>表征多孔碳的比表面积与孔容。SBET分布广泛（9.8-1623 m2/g，CV=0.63），反映了前驱体和活化条件的多样性。Vmeso（中孔孔容）呈右偏分布（偏度=1.71），多数样品以微孔为主（microporosity中位数0.69），少数样品微孔率接近0，说明孔结构调控范围宽。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8"/>
              </w:rPr>
              <w:t>特征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均值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标准差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CV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偏度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缺失率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异常值(|Z|&gt;3)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SBET_m2_g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728.73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462.01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0.634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0.512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 (0.0%)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Vtotal_cm3_g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0.44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0.23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0.535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0.300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 (0.3%)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Vmicro_cm3_g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0.29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0.17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0.573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0.691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 (0.0%)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Vmeso_cm3_g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0.11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0.724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1.707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 (0.9%)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microporosity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0.69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0.19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0.270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-0.120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 (0.6%)</w:t>
            </w:r>
          </w:p>
        </w:tc>
      </w:tr>
    </w:tbl>
    <w:p/>
    <w:p>
      <w:pPr>
        <w:pStyle w:val="Heading2"/>
      </w:pPr>
      <w:r>
        <w:t>2.2 MgO负载特征</w:t>
      </w:r>
    </w:p>
    <w:p>
      <w:r>
        <w:t>MgO_mass_ratio中位数仅0.25，呈强右偏（偏度=0.71），表明大多数样品MgO负载量较低，少数样品负载量高。MgO_surface_density（单位比表面积的MgO质量）变异系数高达2.30，偏度7.49，存在极端离群值（最大33.9 g/m2），反映MgO在碳骨架上的分散均匀性差异极大。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8"/>
              </w:rPr>
              <w:t>特征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均值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标准差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CV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偏度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缺失率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异常值(|Z|&gt;3)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MgO_mass_ratio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0.44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0.33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0.757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0.707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 (0.0%)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MgO_surface_density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1.32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3.02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2.295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7.489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 (1.8%)</w:t>
            </w:r>
          </w:p>
        </w:tc>
      </w:tr>
    </w:tbl>
    <w:p/>
    <w:p>
      <w:pPr>
        <w:pStyle w:val="Heading2"/>
      </w:pPr>
      <w:r>
        <w:t>2.3 工艺条件</w:t>
      </w:r>
    </w:p>
    <w:p>
      <w:r>
        <w:t>temperature_C（吸附温度）以25度C为主（中位数=25），少量样品在高温下测试（最高289度C），呈强右偏（偏度=2.28）。pressure_bar主要集中于1 bar附近，少数高压条件（最高15 bar）形成右拖尾。T_lnP和inv_T_K为衍生复合特征，分布较集中。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8"/>
              </w:rPr>
              <w:t>特征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均值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标准差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CV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偏度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缺失率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异常值(|Z|&gt;3)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temperature_C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46.11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58.31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1.265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2.278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10 (2.9%)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pressure_bar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1.19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1.46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1.224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4.189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 (0.9%)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T_lnP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1.54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34.06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22.178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8 (2.3%)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inv_T_K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0.00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0.137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-1.479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0.0%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 (1.8%)</w:t>
            </w:r>
          </w:p>
        </w:tc>
      </w:tr>
    </w:tbl>
    <w:p/>
    <w:p>
      <w:pPr>
        <w:pStyle w:val="Heading2"/>
      </w:pPr>
      <w:r>
        <w:t>2.4 活化参数</w:t>
      </w:r>
    </w:p>
    <w:p>
      <w:r>
        <w:t>act1_temp_C和act1_duration_h仅对进行了第一步活化的样品有值（248/341，缺失率27.3%）。温度集中于700-850度C，时长集中于2 h，分布窄（CV=0.08-0.16）。act2参数因仅9个样品进行了第二步活化，已被排除。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8"/>
              </w:rPr>
              <w:t>特征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均值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标准差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CV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偏度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缺失率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异常值(|Z|&gt;3)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act1_temp_C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718.83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117.50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0.163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-2.314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27.3%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9 (2.6%)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act1_duration_h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1.96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0.15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0.078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-3.146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27.3%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11 (3.2%)</w:t>
            </w:r>
          </w:p>
        </w:tc>
      </w:tr>
    </w:tbl>
    <w:p/>
    <w:p>
      <w:pPr>
        <w:pStyle w:val="Heading2"/>
      </w:pPr>
      <w:r>
        <w:t>2.5 碳化参数</w:t>
      </w:r>
    </w:p>
    <w:p>
      <w:r>
        <w:t>carb1_temp_C呈双峰分布：低温（约160度C，水热碳化）和高温（600-900度C，常规热解），缺失率仅1.5%。carb2参数缺失率49%，说明约半数样品未进行第二步碳化。carb2_temp_C集中于500-600度C（CV=0.05），分布极窄。碳化时长以1-2 h为主，carb1_duration_h有少量高值（最高4 h）。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</w:tcPr>
          <w:p>
            <w:r>
              <w:rPr>
                <w:b/>
                <w:sz w:val="18"/>
              </w:rPr>
              <w:t>特征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均值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标准差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CV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偏度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缺失率</w:t>
            </w:r>
          </w:p>
        </w:tc>
        <w:tc>
          <w:tcPr>
            <w:tcW w:type="dxa" w:w="1337"/>
          </w:tcPr>
          <w:p>
            <w:r>
              <w:rPr>
                <w:b/>
                <w:sz w:val="18"/>
              </w:rPr>
              <w:t>异常值(|Z|&gt;3)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carb1_temp_C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433.54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269.10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0.621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0.119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1.5%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 (0.0%)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carb1_duration_h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1.34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0.58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0.431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2.725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15.2%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6 (1.8%)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carb2_temp_C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590.23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29.78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0.050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-2.734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49.0%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17 (5.0%)</w:t>
            </w:r>
          </w:p>
        </w:tc>
      </w:tr>
      <w:tr>
        <w:tc>
          <w:tcPr>
            <w:tcW w:type="dxa" w:w="1337"/>
          </w:tcPr>
          <w:p>
            <w:r>
              <w:rPr>
                <w:sz w:val="18"/>
              </w:rPr>
              <w:t>carb2_duration_h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1.83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0.52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0.285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-2.734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49.0%</w:t>
            </w:r>
          </w:p>
        </w:tc>
        <w:tc>
          <w:tcPr>
            <w:tcW w:type="dxa" w:w="1337"/>
          </w:tcPr>
          <w:p>
            <w:r>
              <w:rPr>
                <w:sz w:val="18"/>
              </w:rPr>
              <w:t>17 (5.0%)</w:t>
            </w:r>
          </w:p>
        </w:tc>
      </w:tr>
    </w:tbl>
    <w:p/>
    <w:p>
      <w:pPr>
        <w:pStyle w:val="Heading1"/>
      </w:pPr>
      <w:r>
        <w:t>3 整体分布特征总结</w:t>
      </w:r>
    </w:p>
    <w:p>
      <w:r>
        <w:t>3.1 非正态性：多数特征呈非正态分布。MgO_surface_density（偏度7.49）、pressure_bar（4.19）、carb1_duration_h（2.73）、temperature_C（2.28）呈强右偏，反映少数极端条件样品的存在。碳化/活化温度参数因工艺类型有限而集中在少数离散取值，呈离散分布而非连续分布。</w:t>
      </w:r>
    </w:p>
    <w:p>
      <w:r>
        <w:t>3.2 缺失模式：缺失主要来自工艺步骤的可选性。当某样品未执行活化/碳化步骤时，相应的温度、时长特征为缺失值（而非0），这一设计保留了步骤是否执行的语义。箱线图中仅以非缺失值绘制。</w:t>
      </w:r>
    </w:p>
    <w:p>
      <w:r>
        <w:t>3.3 离群值：MgO_surface_density的离群值最多（|Z|&gt;3占1.8%），对应MgO负载量极高但比表面积较低的样品。temperature_C有2.9%的离群值，来自非室温吸附测试条件。这些离群值对应真实的极端合成/测试条件，不应剔除。</w:t>
      </w:r>
    </w:p>
    <w:p>
      <w:pPr>
        <w:pStyle w:val="Heading1"/>
      </w:pPr>
      <w:r>
        <w:t>4 对ML建模的启示</w:t>
      </w:r>
    </w:p>
    <w:p>
      <w:r>
        <w:t>4.1 非线性模型必要性：特征分布的非正态性和偏态性进一步支持了本研究中树集成模型（RF、XGBoost、LightGBM、GBDT）和TabPFN优于线性模型（Ridge、Lasso）的结论（非线性-线性R2差距 = 0.592）。</w:t>
      </w:r>
    </w:p>
    <w:p>
      <w:r>
        <w:t>4.2 缺失值处理：管道B（树模型）原生支持缺失值；管道A和C使用SimpleImputer。工艺参数的缺失是结构性的（非随机），步骤是否执行的信息已由分类变量（act1_type等）捕获。</w:t>
      </w:r>
    </w:p>
    <w:p>
      <w:r>
        <w:t>4.3 特征偏度与变换：MgO_surface_density的极端偏度（7.49）建议在管道C（SVR/GPR）中经log1p变换后可能改善性能；树模型对此不敏感。</w:t>
      </w:r>
    </w:p>
    <w:p>
      <w:r>
        <w:t>4.4 零方差特征：act2温度/时长因仅9个样品有值，在预处理阶段被排除，与其分类变量act2_type（none vs. H3PO4）之间存在信息冗余。</w:t>
      </w:r>
    </w:p>
    <w:p>
      <w:pPr>
        <w:pStyle w:val="Heading1"/>
      </w:pPr>
      <w:r>
        <w:t>5 Figure 2 图注</w:t>
      </w:r>
    </w:p>
    <w:p>
      <w:r>
        <w:t>图2. 17个数值特征的标准化箱线图。每个箱体表示四分位距（IQR，Q1-Q3），箱内竖线为中位数（Q2），须线延伸至Q1-1.5xIQR和Q3+1.5xIQR范围内的最远点，须外散点为离群值。X轴为Z-score（减去均值除以标准差），实现不同量纲特征的可比性。五种颜色对应五个特征组：蓝色——孔结构，橙色——MgO负载，绿色——工艺条件，紫色——活化参数，金色——碳化参数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