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Figure 2 Box Plot Analysis Report</w:t>
      </w:r>
    </w:p>
    <w:p>
      <w:r>
        <w:t>This report analyzes the distribution characteristics of 17 numerical features in the biomass-derived MgO-modified porous carbon dataset, serving as supporting documentation for Figure 2 of the paper. All features are Z-score standardized and grouped into 5 domains by domain knowledge, distinguished by color.</w:t>
      </w:r>
    </w:p>
    <w:p>
      <w:pPr>
        <w:pStyle w:val="Heading1"/>
      </w:pPr>
      <w:r>
        <w:t>1 Data Overview</w:t>
      </w:r>
    </w:p>
    <w:p>
      <w:r>
        <w:t>Dataset: 341 samples, 19 original numerical features. After excluding 2 zero-variance features (act2_temp_C, act2_duration_h), 17 features are included in the box plot analysis.</w:t>
      </w:r>
    </w:p>
    <w:p>
      <w:r>
        <w:t>Target variable: CO2 uptake (T = 0 degree C, P = 1 bar), range 1.3-292.7 mg/g, mean 99.6 +/- 62.4 mg/g.</w:t>
      </w:r>
    </w:p>
    <w:p>
      <w:pPr>
        <w:pStyle w:val="Heading1"/>
      </w:pPr>
      <w:r>
        <w:t>2 Group-wise Distribution Analysis</w:t>
      </w:r>
    </w:p>
    <w:p>
      <w:pPr>
        <w:pStyle w:val="Heading2"/>
      </w:pPr>
      <w:r>
        <w:t>2.1 Pore Structure</w:t>
      </w:r>
    </w:p>
    <w:p>
      <w:r>
        <w:t>Characterize the specific surface area and pore volume of porous carbon. SBET ranges broadly (9.8-1623 m2/g, CV=0.63), reflecting the diversity of precursors and activation conditions. Vmeso (mesopore volume) shows right-skewed distribution (skew=1.71). Most samples are microporous (microporosity median 0.69), while a few samples have near-zero microporosity, indicating wide pore structure tunability.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  <w:sz w:val="17"/>
              </w:rPr>
              <w:t>Feature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Mean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Std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CV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Skewness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Missing %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Outliers (|Z|&gt;3)</w:t>
            </w:r>
          </w:p>
        </w:tc>
      </w:tr>
      <w:tr>
        <w:tc>
          <w:tcPr>
            <w:tcW w:type="dxa" w:w="1337"/>
          </w:tcPr>
          <w:p>
            <w:r>
              <w:rPr>
                <w:sz w:val="17"/>
              </w:rPr>
              <w:t>SBET_m2_g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728.73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462.01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0.634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0.512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 (0.0%)</w:t>
            </w:r>
          </w:p>
        </w:tc>
      </w:tr>
      <w:tr>
        <w:tc>
          <w:tcPr>
            <w:tcW w:type="dxa" w:w="1337"/>
          </w:tcPr>
          <w:p>
            <w:r>
              <w:rPr>
                <w:sz w:val="17"/>
              </w:rPr>
              <w:t>Vtotal_cm3_g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0.44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0.23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0.535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0.300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1 (0.3%)</w:t>
            </w:r>
          </w:p>
        </w:tc>
      </w:tr>
      <w:tr>
        <w:tc>
          <w:tcPr>
            <w:tcW w:type="dxa" w:w="1337"/>
          </w:tcPr>
          <w:p>
            <w:r>
              <w:rPr>
                <w:sz w:val="17"/>
              </w:rPr>
              <w:t>Vmicro_cm3_g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0.29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0.17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0.573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0.691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 (0.0%)</w:t>
            </w:r>
          </w:p>
        </w:tc>
      </w:tr>
      <w:tr>
        <w:tc>
          <w:tcPr>
            <w:tcW w:type="dxa" w:w="1337"/>
          </w:tcPr>
          <w:p>
            <w:r>
              <w:rPr>
                <w:sz w:val="17"/>
              </w:rPr>
              <w:t>Vmeso_cm3_g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0.15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0.11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0.724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1.707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3 (0.9%)</w:t>
            </w:r>
          </w:p>
        </w:tc>
      </w:tr>
      <w:tr>
        <w:tc>
          <w:tcPr>
            <w:tcW w:type="dxa" w:w="1337"/>
          </w:tcPr>
          <w:p>
            <w:r>
              <w:rPr>
                <w:sz w:val="17"/>
              </w:rPr>
              <w:t>microporosity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0.69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0.19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0.270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-0.120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2 (0.6%)</w:t>
            </w:r>
          </w:p>
        </w:tc>
      </w:tr>
    </w:tbl>
    <w:p/>
    <w:p>
      <w:pPr>
        <w:pStyle w:val="Heading2"/>
      </w:pPr>
      <w:r>
        <w:t>2.2 MgO Loading</w:t>
      </w:r>
    </w:p>
    <w:p>
      <w:r>
        <w:t>MgO_mass_ratio has a median of only 0.25, with strong right skew (skew=0.71), indicating low MgO loading in most samples. MgO_surface_density (MgO mass per unit surface area) has a CV of 2.30 and skew of 7.49, with extreme outliers (max 33.9 g/m2), reflecting highly variable MgO dispersion uniformity on the carbon skeleton.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  <w:sz w:val="17"/>
              </w:rPr>
              <w:t>Feature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Mean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Std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CV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Skewness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Missing %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Outliers (|Z|&gt;3)</w:t>
            </w:r>
          </w:p>
        </w:tc>
      </w:tr>
      <w:tr>
        <w:tc>
          <w:tcPr>
            <w:tcW w:type="dxa" w:w="1337"/>
          </w:tcPr>
          <w:p>
            <w:r>
              <w:rPr>
                <w:sz w:val="17"/>
              </w:rPr>
              <w:t>MgO_mass_ratio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0.44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0.33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0.757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0.707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 (0.0%)</w:t>
            </w:r>
          </w:p>
        </w:tc>
      </w:tr>
      <w:tr>
        <w:tc>
          <w:tcPr>
            <w:tcW w:type="dxa" w:w="1337"/>
          </w:tcPr>
          <w:p>
            <w:r>
              <w:rPr>
                <w:sz w:val="17"/>
              </w:rPr>
              <w:t>MgO_surface_density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1.32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3.02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2.295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7.489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6 (1.8%)</w:t>
            </w:r>
          </w:p>
        </w:tc>
      </w:tr>
    </w:tbl>
    <w:p/>
    <w:p>
      <w:pPr>
        <w:pStyle w:val="Heading2"/>
      </w:pPr>
      <w:r>
        <w:t>2.3 Process Conditions</w:t>
      </w:r>
    </w:p>
    <w:p>
      <w:r>
        <w:t>temperature_C (adsorption temperature) is dominated by 25 degree C (median=25), with a few samples tested at elevated temperatures (max 289 degree C), resulting in strong right skew (2.28). pressure_bar mainly clusters around 1 bar, with a right tail from high-pressure conditions (max 15 bar). T_lnP and inv_T_K are derived composite features with concentrated distributions.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  <w:sz w:val="17"/>
              </w:rPr>
              <w:t>Feature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Mean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Std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CV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Skewness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Missing %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Outliers (|Z|&gt;3)</w:t>
            </w:r>
          </w:p>
        </w:tc>
      </w:tr>
      <w:tr>
        <w:tc>
          <w:tcPr>
            <w:tcW w:type="dxa" w:w="1337"/>
          </w:tcPr>
          <w:p>
            <w:r>
              <w:rPr>
                <w:sz w:val="17"/>
              </w:rPr>
              <w:t>temperature_C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46.11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58.31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1.265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2.278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10 (2.9%)</w:t>
            </w:r>
          </w:p>
        </w:tc>
      </w:tr>
      <w:tr>
        <w:tc>
          <w:tcPr>
            <w:tcW w:type="dxa" w:w="1337"/>
          </w:tcPr>
          <w:p>
            <w:r>
              <w:rPr>
                <w:sz w:val="17"/>
              </w:rPr>
              <w:t>pressure_bar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1.19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1.46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1.224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4.189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3 (0.9%)</w:t>
            </w:r>
          </w:p>
        </w:tc>
      </w:tr>
      <w:tr>
        <w:tc>
          <w:tcPr>
            <w:tcW w:type="dxa" w:w="1337"/>
          </w:tcPr>
          <w:p>
            <w:r>
              <w:rPr>
                <w:sz w:val="17"/>
              </w:rPr>
              <w:t>T_lnP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1.54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34.06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22.178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0.457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8 (2.3%)</w:t>
            </w:r>
          </w:p>
        </w:tc>
      </w:tr>
      <w:tr>
        <w:tc>
          <w:tcPr>
            <w:tcW w:type="dxa" w:w="1337"/>
          </w:tcPr>
          <w:p>
            <w:r>
              <w:rPr>
                <w:sz w:val="17"/>
              </w:rPr>
              <w:t>inv_T_K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0.137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-1.479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6 (1.8%)</w:t>
            </w:r>
          </w:p>
        </w:tc>
      </w:tr>
    </w:tbl>
    <w:p/>
    <w:p>
      <w:pPr>
        <w:pStyle w:val="Heading2"/>
      </w:pPr>
      <w:r>
        <w:t>2.4 Activation Parameters</w:t>
      </w:r>
    </w:p>
    <w:p>
      <w:r>
        <w:t>act1_temp_C and act1_duration_h are available only for samples undergoing the first activation step (248/341, 27.3% missing). Temperature concentrates at 700-850 degree C, duration at 2 h, with narrow distributions (CV=0.08-0.16). act2 parameters were excluded due to zero variance (only 9 samples with second activation).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  <w:sz w:val="17"/>
              </w:rPr>
              <w:t>Feature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Mean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Std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CV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Skewness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Missing %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Outliers (|Z|&gt;3)</w:t>
            </w:r>
          </w:p>
        </w:tc>
      </w:tr>
      <w:tr>
        <w:tc>
          <w:tcPr>
            <w:tcW w:type="dxa" w:w="1337"/>
          </w:tcPr>
          <w:p>
            <w:r>
              <w:rPr>
                <w:sz w:val="17"/>
              </w:rPr>
              <w:t>act1_temp_C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718.83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117.50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0.163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-2.314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27.3%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9 (2.6%)</w:t>
            </w:r>
          </w:p>
        </w:tc>
      </w:tr>
      <w:tr>
        <w:tc>
          <w:tcPr>
            <w:tcW w:type="dxa" w:w="1337"/>
          </w:tcPr>
          <w:p>
            <w:r>
              <w:rPr>
                <w:sz w:val="17"/>
              </w:rPr>
              <w:t>act1_duration_h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1.96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0.15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0.078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-3.146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27.3%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11 (3.2%)</w:t>
            </w:r>
          </w:p>
        </w:tc>
      </w:tr>
    </w:tbl>
    <w:p/>
    <w:p>
      <w:pPr>
        <w:pStyle w:val="Heading2"/>
      </w:pPr>
      <w:r>
        <w:t>2.5 Carbonization Parameters</w:t>
      </w:r>
    </w:p>
    <w:p>
      <w:r>
        <w:t>carb1_temp_C shows a bimodal distribution: low temperature (~160 degree C, hydrothermal) and high temperature (600-900 degree C, conventional pyrolysis), with only 1.5% missing. carb2 parameters have 49% missing, indicating ~half of samples lacked a second carbonization step. carb2_temp_C concentrates at 500-600 degree C (CV=0.05). Carbonization duration is typically 1-2 h, with a few carb1_duration_h outliers (max 4 h).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  <w:sz w:val="17"/>
              </w:rPr>
              <w:t>Feature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Mean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Std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CV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Skewness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Missing %</w:t>
            </w:r>
          </w:p>
        </w:tc>
        <w:tc>
          <w:tcPr>
            <w:tcW w:type="dxa" w:w="1337"/>
          </w:tcPr>
          <w:p>
            <w:r>
              <w:rPr>
                <w:b/>
                <w:sz w:val="17"/>
              </w:rPr>
              <w:t>Outliers (|Z|&gt;3)</w:t>
            </w:r>
          </w:p>
        </w:tc>
      </w:tr>
      <w:tr>
        <w:tc>
          <w:tcPr>
            <w:tcW w:type="dxa" w:w="1337"/>
          </w:tcPr>
          <w:p>
            <w:r>
              <w:rPr>
                <w:sz w:val="17"/>
              </w:rPr>
              <w:t>carb1_temp_C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433.54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269.10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0.621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0.119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1.5%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 (0.0%)</w:t>
            </w:r>
          </w:p>
        </w:tc>
      </w:tr>
      <w:tr>
        <w:tc>
          <w:tcPr>
            <w:tcW w:type="dxa" w:w="1337"/>
          </w:tcPr>
          <w:p>
            <w:r>
              <w:rPr>
                <w:sz w:val="17"/>
              </w:rPr>
              <w:t>carb1_duration_h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1.34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0.58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0.431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2.725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15.2%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6 (1.8%)</w:t>
            </w:r>
          </w:p>
        </w:tc>
      </w:tr>
      <w:tr>
        <w:tc>
          <w:tcPr>
            <w:tcW w:type="dxa" w:w="1337"/>
          </w:tcPr>
          <w:p>
            <w:r>
              <w:rPr>
                <w:sz w:val="17"/>
              </w:rPr>
              <w:t>carb2_temp_C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590.23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29.78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0.050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-2.734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49.0%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17 (5.0%)</w:t>
            </w:r>
          </w:p>
        </w:tc>
      </w:tr>
      <w:tr>
        <w:tc>
          <w:tcPr>
            <w:tcW w:type="dxa" w:w="1337"/>
          </w:tcPr>
          <w:p>
            <w:r>
              <w:rPr>
                <w:sz w:val="17"/>
              </w:rPr>
              <w:t>carb2_duration_h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1.83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0.52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0.285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-2.734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49.0%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17 (5.0%)</w:t>
            </w:r>
          </w:p>
        </w:tc>
      </w:tr>
    </w:tbl>
    <w:p/>
    <w:p>
      <w:pPr>
        <w:pStyle w:val="Heading1"/>
      </w:pPr>
      <w:r>
        <w:t>3 Overall Distribution Characteristics</w:t>
      </w:r>
    </w:p>
    <w:p>
      <w:r>
        <w:t>3.1 Non-normality: Most features exhibit non-normal distributions. MgO_surface_density (skew=7.49), pressure_bar (4.19), carb1_duration_h (2.73), and temperature_C (2.28) show strong right skew, reflecting the presence of samples with extreme synthesis/testing conditions. Carbonization/activation temperature parameters concentrate at a few discrete values due to limited process types, resulting in discrete rather than continuous distributions.</w:t>
      </w:r>
    </w:p>
    <w:p>
      <w:r>
        <w:t>3.2 Missing data patterns: Missing values arise from optional process steps. When a sample did not undergo a specific activation/carbonization step, the corresponding temperature and duration features are recorded as NaN (rather than 0), preserving the semantic meaning of step not performed. Box plots are drawn using only non-missing values.</w:t>
      </w:r>
    </w:p>
    <w:p>
      <w:r>
        <w:t>3.3 Outliers: MgO_surface_density has the most outliers (|Z|&gt;3: 1.8%), corresponding to samples with extremely high MgO loading but low specific surface area. temperature_C has 2.9% outliers from non-ambient adsorption test conditions. These outliers represent genuine extreme synthesis/testing conditions and should not be removed.</w:t>
      </w:r>
    </w:p>
    <w:p>
      <w:pPr>
        <w:pStyle w:val="Heading1"/>
      </w:pPr>
      <w:r>
        <w:t>4 Implications for ML Modeling</w:t>
      </w:r>
    </w:p>
    <w:p>
      <w:r>
        <w:t>4.1 Necessity of nonlinear models: The non-normal, skewed feature distributions further support the finding that tree-based ensemble models (RF, XGBoost, LightGBM, GBDT) and TabPFN substantially outperform linear models (Ridge, Lasso), with a nonlinear-linear R2 gap of 0.592.</w:t>
      </w:r>
    </w:p>
    <w:p>
      <w:r>
        <w:t>4.2 Missing value handling: Pipeline B (tree models) natively supports missing values; Pipelines A and C use SimpleImputer. The missingness in process parameters is structural (not random), with the step-performed-or-not information already captured by categorical variables (act1_type, etc.).</w:t>
      </w:r>
    </w:p>
    <w:p>
      <w:r>
        <w:t>4.3 Feature skewness and transformations: The extreme skewness of MgO_surface_density (7.49) suggests that log1p transformation in Pipeline C (SVR/GPR) may improve performance; tree-based models are insensitive to this.</w:t>
      </w:r>
    </w:p>
    <w:p>
      <w:r>
        <w:t>4.4 Zero-variance features: act2 temperature/duration were excluded because only 9 samples had values, creating information redundancy with their categorical counterpart act2_type (none vs. H3PO4).</w:t>
      </w:r>
    </w:p>
    <w:p>
      <w:pPr>
        <w:pStyle w:val="Heading1"/>
      </w:pPr>
      <w:r>
        <w:t>5 Figure 2 Caption</w:t>
      </w:r>
    </w:p>
    <w:p>
      <w:r>
        <w:t>Figure 2. Standardized box plots of 17 numerical features. Each box represents the interquartile range (IQR, Q1-Q3); the line inside the box marks the median (Q2); whiskers extend to the farthest point within Q1-1.5*IQR and Q3+1.5*IQR; points beyond whiskers are outliers. The x-axis is Z-score (subtract mean, divide by standard deviation) to enable cross-feature comparison. Colors denote five feature groups: blue - pore structure, orange - MgO loading, green - process conditions, purple - activation parameters, gold - carbonization parameters.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