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生物质负载mgo改性多孔碳co2吸附性能的机器学习预测"/>
    <w:p>
      <w:pPr>
        <w:pStyle w:val="Heading1"/>
      </w:pPr>
      <w:r>
        <w:t xml:space="preserve">生物质负载MgO改性多孔碳CO2吸附性能的机器学习预测</w:t>
      </w:r>
    </w:p>
    <w:bookmarkStart w:id="20" w:name="背景"/>
    <w:p>
      <w:pPr>
        <w:pStyle w:val="Heading2"/>
      </w:pPr>
      <w:r>
        <w:t xml:space="preserve">背景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: 利用文献数据，产出一篇可发表的ML论文，预测生物质衍生MgO改性多孔碳的CO2吸附量(mg/g)。</w:t>
      </w:r>
    </w:p>
    <w:p>
      <w:pPr>
        <w:pStyle w:val="BodyText"/>
      </w:pPr>
      <w:r>
        <w:rPr>
          <w:bCs/>
          <w:b/>
        </w:rPr>
        <w:t xml:space="preserve">数据集</w:t>
      </w:r>
      <w:r>
        <w:t xml:space="preserve">:</w:t>
      </w:r>
      <w:r>
        <w:t xml:space="preserve"> </w:t>
      </w:r>
      <w:r>
        <w:rPr>
          <w:rStyle w:val="VerbatimChar"/>
        </w:rPr>
        <w:t xml:space="preserve">0514biochar-MgOdata.xlsx</w:t>
      </w:r>
      <w:r>
        <w:t xml:space="preserve"> </w:t>
      </w:r>
      <w:r>
        <w:t xml:space="preserve">— 341条样本，17列（双行表头），文献汇编。目标变量: CO2 uptake（1.32–292.67 mg/g）。</w:t>
      </w:r>
    </w:p>
    <w:p>
      <w:pPr>
        <w:pStyle w:val="BodyText"/>
      </w:pPr>
      <w:r>
        <w:rPr>
          <w:bCs/>
          <w:b/>
        </w:rPr>
        <w:t xml:space="preserve">关键数据问题</w:t>
      </w:r>
      <w:r>
        <w:t xml:space="preserve">: 多列存在高缺失率；分类特征水平数多；文本列中包含需正则提取的数值参数；碳前驱体类别分布严重不均衡。</w:t>
      </w:r>
    </w:p>
    <w:p>
      <w:r>
        <w:pict>
          <v:rect style="width:0;height:1.5pt" o:hralign="center" o:hrstd="t" o:hr="t"/>
        </w:pict>
      </w:r>
    </w:p>
    <w:bookmarkEnd w:id="20"/>
    <w:bookmarkStart w:id="21" w:name="项目结构"/>
    <w:p>
      <w:pPr>
        <w:pStyle w:val="Heading2"/>
      </w:pPr>
      <w:r>
        <w:t xml:space="preserve">项目结构</w:t>
      </w:r>
    </w:p>
    <w:p>
      <w:pPr>
        <w:pStyle w:val="SourceCode"/>
      </w:pPr>
      <w:r>
        <w:rPr>
          <w:rStyle w:val="VerbatimChar"/>
        </w:rPr>
        <w:t xml:space="preserve">NEW-ML-MgOBC/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raw/0514biochar-MgOdata.xlsx    # 原始数据，永不修改</w:t>
      </w:r>
      <w:r>
        <w:br/>
      </w:r>
      <w:r>
        <w:rPr>
          <w:rStyle w:val="VerbatimChar"/>
        </w:rPr>
        <w:t xml:space="preserve">│   └── processed/                       # 生成的CSV文件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config.py                        # 路径、常量、随机种子</w:t>
      </w:r>
      <w:r>
        <w:br/>
      </w:r>
      <w:r>
        <w:rPr>
          <w:rStyle w:val="VerbatimChar"/>
        </w:rPr>
        <w:t xml:space="preserve">│   ├── data_loader.py                   # 加载并处理双行表头</w:t>
      </w:r>
      <w:r>
        <w:br/>
      </w:r>
      <w:r>
        <w:rPr>
          <w:rStyle w:val="VerbatimChar"/>
        </w:rPr>
        <w:t xml:space="preserve">│   ├── preprocessing.py                 # 缺失值填补、编码</w:t>
      </w:r>
      <w:r>
        <w:br/>
      </w:r>
      <w:r>
        <w:rPr>
          <w:rStyle w:val="VerbatimChar"/>
        </w:rPr>
        <w:t xml:space="preserve">│   ├── feature_engineering.py           # 正则解析、复合特征</w:t>
      </w:r>
      <w:r>
        <w:br/>
      </w:r>
      <w:r>
        <w:rPr>
          <w:rStyle w:val="VerbatimChar"/>
        </w:rPr>
        <w:t xml:space="preserve">│   ├── models.py                        # 模型工厂函数（6个模型）</w:t>
      </w:r>
      <w:r>
        <w:br/>
      </w:r>
      <w:r>
        <w:rPr>
          <w:rStyle w:val="VerbatimChar"/>
        </w:rPr>
        <w:t xml:space="preserve">│   ├── train.py                         # 嵌套CV + Optuna超参调优</w:t>
      </w:r>
      <w:r>
        <w:br/>
      </w:r>
      <w:r>
        <w:rPr>
          <w:rStyle w:val="VerbatimChar"/>
        </w:rPr>
        <w:t xml:space="preserve">│   ├── evaluate.py                      # 指标计算、模型对比</w:t>
      </w:r>
      <w:r>
        <w:br/>
      </w:r>
      <w:r>
        <w:rPr>
          <w:rStyle w:val="VerbatimChar"/>
        </w:rPr>
        <w:t xml:space="preserve">│   ├── shap_analysis.py                 # SHAP计算与可视化</w:t>
      </w:r>
      <w:r>
        <w:br/>
      </w:r>
      <w:r>
        <w:rPr>
          <w:rStyle w:val="VerbatimChar"/>
        </w:rPr>
        <w:t xml:space="preserve">│   └── plotting.py                      # 论文图表（300 DPI）</w:t>
      </w:r>
      <w:r>
        <w:br/>
      </w:r>
      <w:r>
        <w:rPr>
          <w:rStyle w:val="VerbatimChar"/>
        </w:rPr>
        <w:t xml:space="preserve">├── notebooks/                           # 7个notebook（EDA → SHAP）</w:t>
      </w:r>
      <w:r>
        <w:br/>
      </w:r>
      <w:r>
        <w:rPr>
          <w:rStyle w:val="VerbatimChar"/>
        </w:rPr>
        <w:t xml:space="preserve">├── outputs/figures/ + tables/           # 论文最终素材</w:t>
      </w:r>
      <w:r>
        <w:br/>
      </w:r>
      <w:r>
        <w:rPr>
          <w:rStyle w:val="VerbatimChar"/>
        </w:rPr>
        <w:t xml:space="preserve">└── requirements.txt</w:t>
      </w:r>
    </w:p>
    <w:p>
      <w:r>
        <w:pict>
          <v:rect style="width:0;height:1.5pt" o:hralign="center" o:hrstd="t" o:hr="t"/>
        </w:pict>
      </w:r>
    </w:p>
    <w:bookmarkEnd w:id="21"/>
    <w:bookmarkStart w:id="22" w:name="步骤1-数据加载与清洗"/>
    <w:p>
      <w:pPr>
        <w:pStyle w:val="Heading2"/>
      </w:pPr>
      <w:r>
        <w:t xml:space="preserve">步骤1: 数据加载与清洗</w:t>
      </w:r>
    </w:p>
    <w:p>
      <w:pPr>
        <w:pStyle w:val="FirstParagraph"/>
      </w:pPr>
      <w:r>
        <w:rPr>
          <w:bCs/>
          <w:b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src/data_loader.py</w:t>
      </w:r>
    </w:p>
    <w:p>
      <w:pPr>
        <w:numPr>
          <w:ilvl w:val="0"/>
          <w:numId w:val="1001"/>
        </w:numPr>
        <w:pStyle w:val="Compact"/>
      </w:pPr>
      <w:r>
        <w:t xml:space="preserve">以</w:t>
      </w:r>
      <w:r>
        <w:t xml:space="preserve"> </w:t>
      </w:r>
      <w:r>
        <w:rPr>
          <w:rStyle w:val="VerbatimChar"/>
        </w:rPr>
        <w:t xml:space="preserve">header=None</w:t>
      </w:r>
      <w:r>
        <w:t xml:space="preserve"> </w:t>
      </w:r>
      <w:r>
        <w:t xml:space="preserve">读取Excel，跳过前2行（合并表头）</w:t>
      </w:r>
    </w:p>
    <w:p>
      <w:pPr>
        <w:numPr>
          <w:ilvl w:val="0"/>
          <w:numId w:val="1001"/>
        </w:numPr>
        <w:pStyle w:val="Compact"/>
      </w:pPr>
      <w:r>
        <w:t xml:space="preserve">赋予规范列名:</w:t>
      </w:r>
      <w:r>
        <w:t xml:space="preserve"> </w:t>
      </w:r>
      <w:r>
        <w:rPr>
          <w:rStyle w:val="VerbatimChar"/>
        </w:rPr>
        <w:t xml:space="preserve">carbon_precursors</w:t>
      </w:r>
      <w:r>
        <w:t xml:space="preserve">,</w:t>
      </w:r>
      <w:r>
        <w:t xml:space="preserve"> </w:t>
      </w:r>
      <w:r>
        <w:rPr>
          <w:rStyle w:val="VerbatimChar"/>
        </w:rPr>
        <w:t xml:space="preserve">MgO_precursors</w:t>
      </w:r>
      <w:r>
        <w:t xml:space="preserve">,</w:t>
      </w:r>
      <w:r>
        <w:t xml:space="preserve"> </w:t>
      </w:r>
      <w:r>
        <w:rPr>
          <w:rStyle w:val="VerbatimChar"/>
        </w:rPr>
        <w:t xml:space="preserve">Mg_loading_method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Activation1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Activation2</w:t>
      </w:r>
      <w:r>
        <w:t xml:space="preserve">,</w:t>
      </w:r>
      <w:r>
        <w:t xml:space="preserve"> </w:t>
      </w:r>
      <w:r>
        <w:rPr>
          <w:rStyle w:val="VerbatimChar"/>
        </w:rPr>
        <w:t xml:space="preserve">Carbonization1</w:t>
      </w:r>
      <w:r>
        <w:t xml:space="preserve">,</w:t>
      </w:r>
      <w:r>
        <w:t xml:space="preserve"> </w:t>
      </w:r>
      <w:r>
        <w:rPr>
          <w:rStyle w:val="VerbatimChar"/>
        </w:rPr>
        <w:t xml:space="preserve">Carbonization2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Post_treatment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SBET_m2_g</w:t>
      </w:r>
      <w:r>
        <w:t xml:space="preserve">,</w:t>
      </w:r>
      <w:r>
        <w:t xml:space="preserve"> </w:t>
      </w:r>
      <w:r>
        <w:rPr>
          <w:rStyle w:val="VerbatimChar"/>
        </w:rPr>
        <w:t xml:space="preserve">Vtotal_cm3_g</w:t>
      </w:r>
      <w:r>
        <w:t xml:space="preserve">,</w:t>
      </w:r>
      <w:r>
        <w:t xml:space="preserve"> </w:t>
      </w:r>
      <w:r>
        <w:rPr>
          <w:rStyle w:val="VerbatimChar"/>
        </w:rPr>
        <w:t xml:space="preserve">Vmicro_cm3_g</w:t>
      </w:r>
      <w:r>
        <w:t xml:space="preserve">,</w:t>
      </w:r>
      <w:r>
        <w:t xml:space="preserve"> </w:t>
      </w:r>
      <w:r>
        <w:rPr>
          <w:rStyle w:val="VerbatimChar"/>
        </w:rPr>
        <w:t xml:space="preserve">MgO_crystallite_size_nm</w:t>
      </w:r>
      <w:r>
        <w:t xml:space="preserve">,</w:t>
      </w:r>
      <w:r>
        <w:t xml:space="preserve"> </w:t>
      </w:r>
      <w:r>
        <w:rPr>
          <w:rStyle w:val="VerbatimChar"/>
        </w:rPr>
        <w:t xml:space="preserve">MgO_mass_ratio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temperature_C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pressure_bar</w:t>
      </w:r>
      <w:r>
        <w:t xml:space="preserve">,</w:t>
      </w:r>
      <w:r>
        <w:t xml:space="preserve"> </w:t>
      </w:r>
      <w:r>
        <w:rPr>
          <w:rStyle w:val="VerbatimChar"/>
        </w:rPr>
        <w:t xml:space="preserve">CO2_uptake_mg_g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丢弃</w:t>
      </w:r>
      <w:r>
        <w:t xml:space="preserve">:</w:t>
      </w:r>
      <w:r>
        <w:t xml:space="preserve"> </w:t>
      </w:r>
      <w:r>
        <w:rPr>
          <w:rStyle w:val="VerbatimChar"/>
        </w:rPr>
        <w:t xml:space="preserve">References</w:t>
      </w:r>
      <w:r>
        <w:t xml:space="preserve">（文献引用，非特征）</w:t>
      </w:r>
    </w:p>
    <w:p>
      <w:pPr>
        <w:numPr>
          <w:ilvl w:val="0"/>
          <w:numId w:val="1001"/>
        </w:numPr>
        <w:pStyle w:val="Compact"/>
      </w:pPr>
      <w:r>
        <w:t xml:space="preserve">所有数值列通过</w:t>
      </w:r>
      <w:r>
        <w:t xml:space="preserve"> </w:t>
      </w:r>
      <w:r>
        <w:rPr>
          <w:rStyle w:val="VerbatimChar"/>
        </w:rPr>
        <w:t xml:space="preserve">pd.to_numeric(errors='coerce')</w:t>
      </w:r>
      <w:r>
        <w:t xml:space="preserve"> </w:t>
      </w:r>
      <w:r>
        <w:t xml:space="preserve">转换</w:t>
      </w:r>
    </w:p>
    <w:p>
      <w:pPr>
        <w:numPr>
          <w:ilvl w:val="0"/>
          <w:numId w:val="1001"/>
        </w:numPr>
        <w:pStyle w:val="Compact"/>
      </w:pPr>
      <w:r>
        <w:t xml:space="preserve">统一</w:t>
      </w:r>
      <w:r>
        <w:t xml:space="preserve"> </w:t>
      </w:r>
      <w:r>
        <w:rPr>
          <w:rStyle w:val="VerbatimChar"/>
        </w:rPr>
        <w:t xml:space="preserve">MgO_precursors</w:t>
      </w:r>
      <w:r>
        <w:t xml:space="preserve"> </w:t>
      </w:r>
      <w:r>
        <w:t xml:space="preserve">中的Unicode变体（Mg(CH3COO)2·4H2O vs Mg(CH3COO)2⋅4H2O）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修正原始表头笔误</w:t>
      </w:r>
      <w:r>
        <w:t xml:space="preserve">: 原始数据中该列写为</w:t>
      </w:r>
      <w:r>
        <w:t xml:space="preserve"> </w:t>
      </w:r>
      <w:r>
        <w:rPr>
          <w:rStyle w:val="VerbatimChar"/>
        </w:rPr>
        <w:t xml:space="preserve">Vtoal(cm3/g)</w:t>
      </w:r>
      <w:r>
        <w:t xml:space="preserve">，由于使用手动赋予规范列名，直接赋予正确名称</w:t>
      </w:r>
      <w:r>
        <w:t xml:space="preserve"> </w:t>
      </w:r>
      <w:r>
        <w:rPr>
          <w:rStyle w:val="VerbatimChar"/>
        </w:rPr>
        <w:t xml:space="preserve">Vtotal_cm3_g</w:t>
      </w:r>
      <w:r>
        <w:t xml:space="preserve"> </w:t>
      </w:r>
      <w:r>
        <w:t xml:space="preserve">即可，无需额外处理</w:t>
      </w:r>
    </w:p>
    <w:p>
      <w:pPr>
        <w:pStyle w:val="FirstParagraph"/>
      </w:pPr>
      <w:r>
        <w:rPr>
          <w:bCs/>
          <w:b/>
        </w:rPr>
        <w:t xml:space="preserve">NaN 语义修正</w:t>
      </w:r>
      <w:r>
        <w:t xml:space="preserve"> </w:t>
      </w:r>
      <w:r>
        <w:t xml:space="preserve">— 以下列的 NaN 不是数据缺失，而是</w:t>
      </w:r>
      <w:r>
        <w:t xml:space="preserve">“</w:t>
      </w:r>
      <w:r>
        <w:t xml:space="preserve">未执行该步骤</w:t>
      </w:r>
      <w:r>
        <w:t xml:space="preserve">”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Activation1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Activation2</w:t>
      </w:r>
      <w:r>
        <w:t xml:space="preserve">,</w:t>
      </w:r>
      <w:r>
        <w:t xml:space="preserve"> </w:t>
      </w:r>
      <w:r>
        <w:rPr>
          <w:rStyle w:val="VerbatimChar"/>
        </w:rPr>
        <w:t xml:space="preserve">Carbonization1</w:t>
      </w:r>
      <w:r>
        <w:t xml:space="preserve">,</w:t>
      </w:r>
      <w:r>
        <w:t xml:space="preserve"> </w:t>
      </w:r>
      <w:r>
        <w:rPr>
          <w:rStyle w:val="VerbatimChar"/>
        </w:rPr>
        <w:t xml:space="preserve">Carbonization2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Post_treatment</w:t>
      </w:r>
      <w:r>
        <w:t xml:space="preserve"> </w:t>
      </w:r>
      <w:r>
        <w:t xml:space="preserve">的 NaN 全部替换为</w:t>
      </w:r>
      <w:r>
        <w:t xml:space="preserve"> </w:t>
      </w:r>
      <w:r>
        <w:rPr>
          <w:rStyle w:val="VerbatimChar"/>
        </w:rPr>
        <w:t xml:space="preserve">"none"</w:t>
      </w:r>
      <w:r>
        <w:t xml:space="preserve"> </w:t>
      </w:r>
      <w:r>
        <w:t xml:space="preserve">- 这意味着</w:t>
      </w:r>
      <w:r>
        <w:t xml:space="preserve"> </w:t>
      </w:r>
      <w:r>
        <w:rPr>
          <w:bCs/>
          <w:b/>
        </w:rPr>
        <w:t xml:space="preserve">Activation2 和 Post_treatment 保留使用</w:t>
      </w:r>
      <w:r>
        <w:t xml:space="preserve">，不丢弃</w:t>
      </w:r>
    </w:p>
    <w:p>
      <w:pPr>
        <w:pStyle w:val="BodyText"/>
      </w:pPr>
      <w:r>
        <w:rPr>
          <w:bCs/>
          <w:b/>
        </w:rPr>
        <w:t xml:space="preserve">列值合并以保持一致性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Mg_loading_method</w:t>
      </w:r>
      <w:r>
        <w:t xml:space="preserve">: 合并</w:t>
      </w:r>
      <w:r>
        <w:t xml:space="preserve"> </w:t>
      </w:r>
      <w:r>
        <w:t xml:space="preserve">“</w:t>
      </w:r>
      <w:r>
        <w:t xml:space="preserve">impregnation</w:t>
      </w:r>
      <w:r>
        <w:t xml:space="preserve">”</w:t>
      </w:r>
      <w:r>
        <w:t xml:space="preserve"> </w:t>
      </w:r>
      <w:r>
        <w:t xml:space="preserve">和</w:t>
      </w:r>
      <w:r>
        <w:t xml:space="preserve"> </w:t>
      </w:r>
      <w:r>
        <w:t xml:space="preserve">“</w:t>
      </w:r>
      <w:r>
        <w:t xml:space="preserve">wetness impregnation</w:t>
      </w:r>
      <w:r>
        <w:t xml:space="preserve">”</w:t>
      </w:r>
      <w:r>
        <w:t xml:space="preserve">（本质上为同一种方法）</w:t>
      </w:r>
    </w:p>
    <w:bookmarkEnd w:id="22"/>
    <w:bookmarkStart w:id="23" w:name="步骤2-缺失值处理"/>
    <w:p>
      <w:pPr>
        <w:pStyle w:val="Heading2"/>
      </w:pPr>
      <w:r>
        <w:t xml:space="preserve">步骤2: 缺失值处理</w:t>
      </w:r>
    </w:p>
    <w:p>
      <w:pPr>
        <w:pStyle w:val="FirstParagraph"/>
      </w:pPr>
      <w:r>
        <w:rPr>
          <w:bCs/>
          <w:b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src/preprocessing.py</w:t>
      </w:r>
    </w:p>
    <w:p>
      <w:pPr>
        <w:pStyle w:val="BodyText"/>
      </w:pPr>
      <w:r>
        <w:rPr>
          <w:bCs/>
          <w:b/>
        </w:rPr>
        <w:t xml:space="preserve">真正缺失的列</w:t>
      </w:r>
      <w:r>
        <w:t xml:space="preserve">（仅数值列存在数据缺失）: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列名</w:t>
            </w:r>
          </w:p>
        </w:tc>
        <w:tc>
          <w:p>
            <w:pPr>
              <w:pStyle w:val="Compact"/>
              <w:jc w:val="left"/>
            </w:pPr>
            <w:r>
              <w:t xml:space="preserve">缺失率</w:t>
            </w:r>
          </w:p>
        </w:tc>
        <w:tc>
          <w:p>
            <w:pPr>
              <w:pStyle w:val="Compact"/>
              <w:jc w:val="left"/>
            </w:pPr>
            <w:r>
              <w:t xml:space="preserve">处理策略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SBET_m2_g</w:t>
            </w:r>
          </w:p>
        </w:tc>
        <w:tc>
          <w:p>
            <w:pPr>
              <w:pStyle w:val="Compact"/>
              <w:jc w:val="left"/>
            </w:pPr>
            <w:r>
              <w:t xml:space="preserve">4.4%</w:t>
            </w:r>
          </w:p>
        </w:tc>
        <w:tc>
          <w:p>
            <w:pPr>
              <w:pStyle w:val="Compact"/>
              <w:jc w:val="left"/>
            </w:pPr>
            <w:r>
              <w:t xml:space="preserve">KNNImputer (k=5) — 低缺失率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Vtotal_cm3_g</w:t>
            </w:r>
          </w:p>
        </w:tc>
        <w:tc>
          <w:p>
            <w:pPr>
              <w:pStyle w:val="Compact"/>
              <w:jc w:val="left"/>
            </w:pPr>
            <w:r>
              <w:t xml:space="preserve">4.4%</w:t>
            </w:r>
          </w:p>
        </w:tc>
        <w:tc>
          <w:p>
            <w:pPr>
              <w:pStyle w:val="Compact"/>
              <w:jc w:val="left"/>
            </w:pPr>
            <w:r>
              <w:t xml:space="preserve">KNNImputer (k=5)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Vmicro_cm3_g</w:t>
            </w:r>
          </w:p>
        </w:tc>
        <w:tc>
          <w:p>
            <w:pPr>
              <w:pStyle w:val="Compact"/>
              <w:jc w:val="left"/>
            </w:pPr>
            <w:r>
              <w:t xml:space="preserve">42.2%</w:t>
            </w:r>
          </w:p>
        </w:tc>
        <w:tc>
          <w:p>
            <w:pPr>
              <w:pStyle w:val="Compact"/>
              <w:jc w:val="left"/>
            </w:pPr>
            <w:r>
              <w:t xml:space="preserve">IterativeImputer (BayesianRidge, max_iter=20) — 对CO2吸附机理重要。</w:t>
            </w:r>
            <w:r>
              <w:rPr>
                <w:bCs/>
                <w:b/>
              </w:rPr>
              <w:t xml:space="preserve">插补后强制约束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Vmicro = min(Vmicro_imputed, Vtotal)</w:t>
            </w:r>
            <w:r>
              <w:t xml:space="preserve">，防止出现Vmicro &gt; Vtotal的物理谬误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MgO_crystallite_size_nm</w:t>
            </w:r>
          </w:p>
        </w:tc>
        <w:tc>
          <w:p>
            <w:pPr>
              <w:pStyle w:val="Compact"/>
              <w:jc w:val="left"/>
            </w:pPr>
            <w:r>
              <w:t xml:space="preserve">72.1%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双轨策略</w:t>
            </w:r>
            <w:r>
              <w:t xml:space="preserve">: (A) 删除该特征; (B) IterativeImputer。比较后以A方案为主</w:t>
            </w:r>
          </w:p>
        </w:tc>
      </w:tr>
    </w:tbl>
    <w:p>
      <w:pPr>
        <w:pStyle w:val="BodyText"/>
      </w:pPr>
      <w:r>
        <w:rPr>
          <w:bCs/>
          <w:b/>
        </w:rPr>
        <w:t xml:space="preserve">非缺失列</w:t>
      </w:r>
      <w:r>
        <w:t xml:space="preserve">（NaN已在上一步转为</w:t>
      </w:r>
      <w:r>
        <w:t xml:space="preserve">“</w:t>
      </w:r>
      <w:r>
        <w:t xml:space="preserve">none</w:t>
      </w:r>
      <w:r>
        <w:t xml:space="preserve">”</w:t>
      </w:r>
      <w:r>
        <w:t xml:space="preserve">类别）：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Activation1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Activation2</w:t>
      </w:r>
      <w:r>
        <w:t xml:space="preserve">,</w:t>
      </w:r>
      <w:r>
        <w:t xml:space="preserve"> </w:t>
      </w:r>
      <w:r>
        <w:rPr>
          <w:rStyle w:val="VerbatimChar"/>
        </w:rPr>
        <w:t xml:space="preserve">Carbonization1</w:t>
      </w:r>
      <w:r>
        <w:t xml:space="preserve">,</w:t>
      </w:r>
      <w:r>
        <w:t xml:space="preserve"> </w:t>
      </w:r>
      <w:r>
        <w:rPr>
          <w:rStyle w:val="VerbatimChar"/>
        </w:rPr>
        <w:t xml:space="preserve">Carbonization2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Post_treatment</w:t>
      </w:r>
      <w:r>
        <w:t xml:space="preserve"> </w:t>
      </w:r>
      <w:r>
        <w:t xml:space="preserve">- NaN=</w:t>
      </w:r>
      <w:r>
        <w:t xml:space="preserve">“</w:t>
      </w:r>
      <w:r>
        <w:t xml:space="preserve">none</w:t>
      </w:r>
      <w:r>
        <w:t xml:space="preserve">”</w:t>
      </w:r>
      <w:r>
        <w:t xml:space="preserve">代表该步骤未执行，是有意义的工艺信息</w:t>
      </w:r>
    </w:p>
    <w:p>
      <w:pPr>
        <w:pStyle w:val="BodyText"/>
      </w:pPr>
      <w:r>
        <w:rPr>
          <w:bCs/>
          <w:b/>
        </w:rPr>
        <w:t xml:space="preserve">关键要求</w:t>
      </w:r>
      <w:r>
        <w:t xml:space="preserve">: 所有填补器仅在训练集上fit，在测试集上transform，避免数据泄露。</w:t>
      </w:r>
    </w:p>
    <w:p>
      <w:pPr>
        <w:pStyle w:val="BodyText"/>
      </w:pPr>
      <w:r>
        <w:rPr>
          <w:bCs/>
          <w:b/>
        </w:rPr>
        <w:t xml:space="preserve">稳健性检验</w:t>
      </w:r>
      <w:r>
        <w:t xml:space="preserve">: 仅在197条Vmicro完整的样本上训练辅助模型（不填补），与主模型对比R²。</w:t>
      </w:r>
    </w:p>
    <w:bookmarkEnd w:id="23"/>
    <w:bookmarkStart w:id="27" w:name="步骤3-特征工程"/>
    <w:p>
      <w:pPr>
        <w:pStyle w:val="Heading2"/>
      </w:pPr>
      <w:r>
        <w:t xml:space="preserve">步骤3: 特征工程</w:t>
      </w:r>
    </w:p>
    <w:p>
      <w:pPr>
        <w:pStyle w:val="FirstParagraph"/>
      </w:pPr>
      <w:r>
        <w:rPr>
          <w:bCs/>
          <w:b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src/feature_engineering.py</w:t>
      </w:r>
    </w:p>
    <w:bookmarkStart w:id="24" w:name="a.-从文本列中解析数值参数"/>
    <w:p>
      <w:pPr>
        <w:pStyle w:val="Heading3"/>
      </w:pPr>
      <w:r>
        <w:t xml:space="preserve">3a. 从文本列中解析数值参数</w:t>
      </w:r>
    </w:p>
    <w:p>
      <w:pPr>
        <w:pStyle w:val="FirstParagraph"/>
      </w:pPr>
      <w:r>
        <w:rPr>
          <w:bCs/>
          <w:b/>
        </w:rPr>
        <w:t xml:space="preserve">核心思路</w:t>
      </w:r>
      <w:r>
        <w:t xml:space="preserve">：5个工艺列中，非</w:t>
      </w:r>
      <w:r>
        <w:t xml:space="preserve">“</w:t>
      </w:r>
      <w:r>
        <w:t xml:space="preserve">none</w:t>
      </w:r>
      <w:r>
        <w:t xml:space="preserve">”</w:t>
      </w:r>
      <w:r>
        <w:t xml:space="preserve">的文本包含温度、时间等数值信息，用正则提取为数值特征；同时保留分类特征表示工艺类型。</w:t>
      </w:r>
    </w:p>
    <w:p>
      <w:pPr>
        <w:pStyle w:val="BodyText"/>
      </w:pPr>
      <w:r>
        <w:t xml:space="preserve">从</w:t>
      </w:r>
      <w:r>
        <w:t xml:space="preserve"> </w:t>
      </w:r>
      <w:r>
        <w:rPr>
          <w:rStyle w:val="VerbatimChar"/>
        </w:rPr>
        <w:t xml:space="preserve">Activation1</w:t>
      </w:r>
      <w:r>
        <w:t xml:space="preserve"> </w:t>
      </w:r>
      <w:r>
        <w:t xml:space="preserve">提取（示例:</w:t>
      </w:r>
      <w:r>
        <w:t xml:space="preserve"> </w:t>
      </w:r>
      <w:r>
        <w:t xml:space="preserve">“</w:t>
      </w:r>
      <w:r>
        <w:t xml:space="preserve">KOH activation at 700°C for 2 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none</w:t>
      </w:r>
      <w:r>
        <w:t xml:space="preserve">”</w:t>
      </w:r>
      <w:r>
        <w:t xml:space="preserve">）:</w:t>
      </w:r>
      <w:r>
        <w:t xml:space="preserve"> </w:t>
      </w:r>
      <w:r>
        <w:t xml:space="preserve">- 提取 →</w:t>
      </w:r>
      <w:r>
        <w:t xml:space="preserve"> </w:t>
      </w:r>
      <w:r>
        <w:rPr>
          <w:rStyle w:val="VerbatimChar"/>
        </w:rPr>
        <w:t xml:space="preserve">act1_temp_C</w:t>
      </w:r>
      <w:r>
        <w:t xml:space="preserve">,</w:t>
      </w:r>
      <w:r>
        <w:t xml:space="preserve"> </w:t>
      </w:r>
      <w:r>
        <w:rPr>
          <w:rStyle w:val="VerbatimChar"/>
        </w:rPr>
        <w:t xml:space="preserve">act1_duration_h</w:t>
      </w:r>
      <w:r>
        <w:t xml:space="preserve"> </w:t>
      </w:r>
      <w:r>
        <w:t xml:space="preserve">- 分类 →</w:t>
      </w:r>
      <w:r>
        <w:t xml:space="preserve"> </w:t>
      </w:r>
      <w:r>
        <w:rPr>
          <w:rStyle w:val="VerbatimChar"/>
        </w:rPr>
        <w:t xml:space="preserve">act1_type</w:t>
      </w:r>
      <w:r>
        <w:t xml:space="preserve">: none / KOH / steam / hydrothermal</w:t>
      </w:r>
    </w:p>
    <w:p>
      <w:pPr>
        <w:pStyle w:val="BodyText"/>
      </w:pPr>
      <w:r>
        <w:t xml:space="preserve">从</w:t>
      </w:r>
      <w:r>
        <w:t xml:space="preserve"> </w:t>
      </w:r>
      <w:r>
        <w:rPr>
          <w:rStyle w:val="VerbatimChar"/>
        </w:rPr>
        <w:t xml:space="preserve">Activation2</w:t>
      </w:r>
      <w:r>
        <w:t xml:space="preserve"> </w:t>
      </w:r>
      <w:r>
        <w:t xml:space="preserve">提取（332条</w:t>
      </w:r>
      <w:r>
        <w:t xml:space="preserve">“</w:t>
      </w:r>
      <w:r>
        <w:t xml:space="preserve">none</w:t>
      </w:r>
      <w:r>
        <w:t xml:space="preserve">”</w:t>
      </w:r>
      <w:r>
        <w:t xml:space="preserve">, 9条</w:t>
      </w:r>
      <w:r>
        <w:t xml:space="preserve">“</w:t>
      </w:r>
      <w:r>
        <w:t xml:space="preserve">H3PO4 activation at 700°C for 1 h</w:t>
      </w:r>
      <w:r>
        <w:t xml:space="preserve">”</w:t>
      </w:r>
      <w:r>
        <w:t xml:space="preserve">）:</w:t>
      </w:r>
      <w:r>
        <w:t xml:space="preserve"> </w:t>
      </w:r>
      <w:r>
        <w:t xml:space="preserve">- 提取 →</w:t>
      </w:r>
      <w:r>
        <w:t xml:space="preserve"> </w:t>
      </w:r>
      <w:r>
        <w:rPr>
          <w:rStyle w:val="VerbatimChar"/>
        </w:rPr>
        <w:t xml:space="preserve">act2_temp_C</w:t>
      </w:r>
      <w:r>
        <w:t xml:space="preserve">,</w:t>
      </w:r>
      <w:r>
        <w:t xml:space="preserve"> </w:t>
      </w:r>
      <w:r>
        <w:rPr>
          <w:rStyle w:val="VerbatimChar"/>
        </w:rPr>
        <w:t xml:space="preserve">act2_duration_h</w:t>
      </w:r>
      <w:r>
        <w:t xml:space="preserve"> </w:t>
      </w:r>
      <w:r>
        <w:t xml:space="preserve">- 分类 →</w:t>
      </w:r>
      <w:r>
        <w:t xml:space="preserve"> </w:t>
      </w:r>
      <w:r>
        <w:rPr>
          <w:rStyle w:val="VerbatimChar"/>
        </w:rPr>
        <w:t xml:space="preserve">act2_type</w:t>
      </w:r>
      <w:r>
        <w:t xml:space="preserve">: none / H3PO4</w:t>
      </w:r>
    </w:p>
    <w:p>
      <w:pPr>
        <w:pStyle w:val="BodyText"/>
      </w:pPr>
      <w:r>
        <w:t xml:space="preserve">从</w:t>
      </w:r>
      <w:r>
        <w:t xml:space="preserve"> </w:t>
      </w:r>
      <w:r>
        <w:rPr>
          <w:rStyle w:val="VerbatimChar"/>
        </w:rPr>
        <w:t xml:space="preserve">Carbonization1</w:t>
      </w:r>
      <w:r>
        <w:t xml:space="preserve"> </w:t>
      </w:r>
      <w:r>
        <w:t xml:space="preserve">提取（示例:</w:t>
      </w:r>
      <w:r>
        <w:t xml:space="preserve"> </w:t>
      </w:r>
      <w:r>
        <w:t xml:space="preserve">“</w:t>
      </w:r>
      <w:r>
        <w:t xml:space="preserve">microwave heating at 160 °C for 1 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fast pyrolysis at 600°C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none</w:t>
      </w:r>
      <w:r>
        <w:t xml:space="preserve">”</w:t>
      </w:r>
      <w:r>
        <w:t xml:space="preserve">）:</w:t>
      </w:r>
      <w:r>
        <w:t xml:space="preserve"> </w:t>
      </w:r>
      <w:r>
        <w:t xml:space="preserve">- 提取 →</w:t>
      </w:r>
      <w:r>
        <w:t xml:space="preserve"> </w:t>
      </w:r>
      <w:r>
        <w:rPr>
          <w:rStyle w:val="VerbatimChar"/>
        </w:rPr>
        <w:t xml:space="preserve">carb1_temp_C</w:t>
      </w:r>
      <w:r>
        <w:t xml:space="preserve">,</w:t>
      </w:r>
      <w:r>
        <w:t xml:space="preserve"> </w:t>
      </w:r>
      <w:r>
        <w:rPr>
          <w:rStyle w:val="VerbatimChar"/>
        </w:rPr>
        <w:t xml:space="preserve">carb1_duration_h</w:t>
      </w:r>
      <w:r>
        <w:t xml:space="preserve"> </w:t>
      </w:r>
      <w:r>
        <w:t xml:space="preserve">- 分类 →</w:t>
      </w:r>
      <w:r>
        <w:t xml:space="preserve"> </w:t>
      </w:r>
      <w:r>
        <w:rPr>
          <w:rStyle w:val="VerbatimChar"/>
        </w:rPr>
        <w:t xml:space="preserve">carb1_type</w:t>
      </w:r>
      <w:r>
        <w:t xml:space="preserve">: none / conventional / microwave / fast_pyrolysis</w:t>
      </w:r>
    </w:p>
    <w:p>
      <w:pPr>
        <w:pStyle w:val="BodyText"/>
      </w:pPr>
      <w:r>
        <w:t xml:space="preserve">从</w:t>
      </w:r>
      <w:r>
        <w:t xml:space="preserve"> </w:t>
      </w:r>
      <w:r>
        <w:rPr>
          <w:rStyle w:val="VerbatimChar"/>
        </w:rPr>
        <w:t xml:space="preserve">Carbonization2</w:t>
      </w:r>
      <w:r>
        <w:t xml:space="preserve"> </w:t>
      </w:r>
      <w:r>
        <w:t xml:space="preserve">提取（167条</w:t>
      </w:r>
      <w:r>
        <w:t xml:space="preserve">“</w:t>
      </w:r>
      <w:r>
        <w:t xml:space="preserve">none</w:t>
      </w:r>
      <w:r>
        <w:t xml:space="preserve">”</w:t>
      </w:r>
      <w:r>
        <w:t xml:space="preserve">, 157条</w:t>
      </w:r>
      <w:r>
        <w:t xml:space="preserve">“</w:t>
      </w:r>
      <w:r>
        <w:t xml:space="preserve">600 °C for 2 h</w:t>
      </w:r>
      <w:r>
        <w:t xml:space="preserve">”</w:t>
      </w:r>
      <w:r>
        <w:t xml:space="preserve">, 17条</w:t>
      </w:r>
      <w:r>
        <w:t xml:space="preserve">“</w:t>
      </w:r>
      <w:r>
        <w:t xml:space="preserve">500 °C for 15 min</w:t>
      </w:r>
      <w:r>
        <w:t xml:space="preserve">”</w:t>
      </w:r>
      <w:r>
        <w:t xml:space="preserve">）:</w:t>
      </w:r>
      <w:r>
        <w:t xml:space="preserve"> </w:t>
      </w:r>
      <w:r>
        <w:t xml:space="preserve">- 提取 →</w:t>
      </w:r>
      <w:r>
        <w:t xml:space="preserve"> </w:t>
      </w:r>
      <w:r>
        <w:rPr>
          <w:rStyle w:val="VerbatimChar"/>
        </w:rPr>
        <w:t xml:space="preserve">carb2_temp_C</w:t>
      </w:r>
      <w:r>
        <w:t xml:space="preserve">,</w:t>
      </w:r>
      <w:r>
        <w:t xml:space="preserve"> </w:t>
      </w:r>
      <w:r>
        <w:rPr>
          <w:rStyle w:val="VerbatimChar"/>
        </w:rPr>
        <w:t xml:space="preserve">carb2_duration_h</w:t>
      </w:r>
      <w:r>
        <w:t xml:space="preserve"> </w:t>
      </w:r>
      <w:r>
        <w:t xml:space="preserve">- 分类 →</w:t>
      </w:r>
      <w:r>
        <w:t xml:space="preserve"> </w:t>
      </w:r>
      <w:r>
        <w:rPr>
          <w:rStyle w:val="VerbatimChar"/>
        </w:rPr>
        <w:t xml:space="preserve">carb2_type</w:t>
      </w:r>
      <w:r>
        <w:t xml:space="preserve">: none / 500C_15min / 600C_2h</w:t>
      </w:r>
    </w:p>
    <w:p>
      <w:pPr>
        <w:pStyle w:val="BodyText"/>
      </w:pPr>
      <w:r>
        <w:t xml:space="preserve">从</w:t>
      </w:r>
      <w:r>
        <w:t xml:space="preserve"> </w:t>
      </w:r>
      <w:r>
        <w:rPr>
          <w:rStyle w:val="VerbatimChar"/>
        </w:rPr>
        <w:t xml:space="preserve">Post_treatment</w:t>
      </w:r>
      <w:r>
        <w:t xml:space="preserve"> </w:t>
      </w:r>
      <w:r>
        <w:t xml:space="preserve">提取（326条</w:t>
      </w:r>
      <w:r>
        <w:t xml:space="preserve">“</w:t>
      </w:r>
      <w:r>
        <w:t xml:space="preserve">none</w:t>
      </w:r>
      <w:r>
        <w:t xml:space="preserve">”</w:t>
      </w:r>
      <w:r>
        <w:t xml:space="preserve">, 6条</w:t>
      </w:r>
      <w:r>
        <w:t xml:space="preserve">“</w:t>
      </w:r>
      <w:r>
        <w:t xml:space="preserve">without rinsing</w:t>
      </w:r>
      <w:r>
        <w:t xml:space="preserve">”</w:t>
      </w:r>
      <w:r>
        <w:t xml:space="preserve">, 5条</w:t>
      </w:r>
      <w:r>
        <w:t xml:space="preserve">“</w:t>
      </w:r>
      <w:r>
        <w:t xml:space="preserve">with rinsing</w:t>
      </w:r>
      <w:r>
        <w:t xml:space="preserve">”</w:t>
      </w:r>
      <w:r>
        <w:t xml:space="preserve">, 4条</w:t>
      </w:r>
      <w:r>
        <w:t xml:space="preserve">“</w:t>
      </w:r>
      <w:r>
        <w:t xml:space="preserve">sonication at 60% amplitude for 1 min</w:t>
      </w:r>
      <w:r>
        <w:t xml:space="preserve">”</w:t>
      </w:r>
      <w:r>
        <w:t xml:space="preserve">）:</w:t>
      </w:r>
      <w:r>
        <w:t xml:space="preserve"> </w:t>
      </w:r>
      <w:r>
        <w:t xml:space="preserve">- 分类 →</w:t>
      </w:r>
      <w:r>
        <w:t xml:space="preserve"> </w:t>
      </w:r>
      <w:r>
        <w:rPr>
          <w:rStyle w:val="VerbatimChar"/>
        </w:rPr>
        <w:t xml:space="preserve">post_treatment_type</w:t>
      </w:r>
      <w:r>
        <w:t xml:space="preserve">: none / without_rinsing / with_rinsing / sonication</w:t>
      </w:r>
    </w:p>
    <w:bookmarkEnd w:id="24"/>
    <w:bookmarkStart w:id="25" w:name="b.-领域知识复合特征"/>
    <w:p>
      <w:pPr>
        <w:pStyle w:val="Heading3"/>
      </w:pPr>
      <w:r>
        <w:t xml:space="preserve">3b. 领域知识复合特征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特征名</w:t>
            </w:r>
          </w:p>
        </w:tc>
        <w:tc>
          <w:p>
            <w:pPr>
              <w:pStyle w:val="Compact"/>
              <w:jc w:val="left"/>
            </w:pPr>
            <w:r>
              <w:t xml:space="preserve">公式</w:t>
            </w:r>
          </w:p>
        </w:tc>
        <w:tc>
          <w:p>
            <w:pPr>
              <w:pStyle w:val="Compact"/>
              <w:jc w:val="left"/>
            </w:pPr>
            <w:r>
              <w:t xml:space="preserve">物理意义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Vmeso_cm3_g</w:t>
            </w:r>
          </w:p>
        </w:tc>
        <w:tc>
          <w:p>
            <w:pPr>
              <w:pStyle w:val="Compact"/>
              <w:jc w:val="left"/>
            </w:pPr>
            <w:r>
              <w:t xml:space="preserve">Vtotal - Vmicro</w:t>
            </w:r>
          </w:p>
        </w:tc>
        <w:tc>
          <w:p>
            <w:pPr>
              <w:pStyle w:val="Compact"/>
              <w:jc w:val="left"/>
            </w:pPr>
            <w:r>
              <w:t xml:space="preserve">介孔体积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microporosity</w:t>
            </w:r>
          </w:p>
        </w:tc>
        <w:tc>
          <w:p>
            <w:pPr>
              <w:pStyle w:val="Compact"/>
              <w:jc w:val="left"/>
            </w:pPr>
            <w:r>
              <w:t xml:space="preserve">Vmicro / Vtotal</w:t>
            </w:r>
          </w:p>
        </w:tc>
        <w:tc>
          <w:p>
            <w:pPr>
              <w:pStyle w:val="Compact"/>
              <w:jc w:val="left"/>
            </w:pPr>
            <w:r>
              <w:t xml:space="preserve">微孔率，CO2物理吸附的关键指标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MgO_surface_density</w:t>
            </w:r>
          </w:p>
        </w:tc>
        <w:tc>
          <w:p>
            <w:pPr>
              <w:pStyle w:val="Compact"/>
              <w:jc w:val="left"/>
            </w:pPr>
            <w:r>
              <w:t xml:space="preserve">MgO_mass_ratio / (SBET / 1000)</w:t>
            </w:r>
          </w:p>
        </w:tc>
        <w:tc>
          <w:p>
            <w:pPr>
              <w:pStyle w:val="Compact"/>
              <w:jc w:val="left"/>
            </w:pPr>
            <w:r>
              <w:t xml:space="preserve">单位表面积MgO负载量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T_lnP</w:t>
            </w:r>
          </w:p>
        </w:tc>
        <w:tc>
          <w:p>
            <w:pPr>
              <w:pStyle w:val="Compact"/>
              <w:jc w:val="left"/>
            </w:pPr>
            <w:r>
              <w:t xml:space="preserve">T_C * ln(pressure + 0.01)</w:t>
            </w:r>
          </w:p>
        </w:tc>
        <w:tc>
          <w:p>
            <w:pPr>
              <w:pStyle w:val="Compact"/>
              <w:jc w:val="left"/>
            </w:pPr>
            <w:r>
              <w:t xml:space="preserve">吸附条件耦合项（吸附势理论）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inv_T_K</w:t>
            </w:r>
          </w:p>
        </w:tc>
        <w:tc>
          <w:p>
            <w:pPr>
              <w:pStyle w:val="Compact"/>
              <w:jc w:val="left"/>
            </w:pPr>
            <w:r>
              <w:t xml:space="preserve">1 / (temperature_C + 273.15)</w:t>
            </w:r>
          </w:p>
        </w:tc>
        <w:tc>
          <w:p>
            <w:pPr>
              <w:pStyle w:val="Compact"/>
              <w:jc w:val="left"/>
            </w:pPr>
            <w:r>
              <w:t xml:space="preserve">温度倒数（1/K），Clausius-Clapeyron / van’t Hoff方程中温度的自然变量形式</w:t>
            </w:r>
          </w:p>
        </w:tc>
      </w:tr>
    </w:tbl>
    <w:bookmarkEnd w:id="25"/>
    <w:bookmarkStart w:id="26" w:name="c.-最终特征集约25个特征"/>
    <w:p>
      <w:pPr>
        <w:pStyle w:val="Heading3"/>
      </w:pPr>
      <w:r>
        <w:t xml:space="preserve">3c. 最终特征集（约25个特征）</w:t>
      </w:r>
    </w:p>
    <w:p>
      <w:pPr>
        <w:pStyle w:val="FirstParagraph"/>
      </w:pPr>
      <w:r>
        <w:rPr>
          <w:bCs/>
          <w:b/>
        </w:rPr>
        <w:t xml:space="preserve">数值特征（17-19个）</w:t>
      </w:r>
      <w:r>
        <w:t xml:space="preserve">: SBET, Vtotal, Vmicro, MgO_mass_ratio, temperature, pressure, act1_temp, act1_duration, act2_temp, act2_duration, carb1_temp, carb1_duration, carb2_temp, carb2_duration, Vmeso, microporosity, MgO_surface_density, T_lnP, inv_T_K — 可选MgO_crystallite_size</w:t>
      </w:r>
    </w:p>
    <w:p>
      <w:pPr>
        <w:pStyle w:val="BodyText"/>
      </w:pPr>
      <w:r>
        <w:rPr>
          <w:bCs/>
          <w:b/>
        </w:rPr>
        <w:t xml:space="preserve">分类特征（8个）</w:t>
      </w:r>
      <w:r>
        <w:t xml:space="preserve">（树模型用OrdinalEncode，SVR/GPR用TargetEncode）: carbon_precursors, MgO_precursors, Mg_loading_method, act1_type, act2_type, carb1_type, carb2_type, post_treatment_type</w:t>
      </w:r>
    </w:p>
    <w:bookmarkEnd w:id="26"/>
    <w:bookmarkEnd w:id="27"/>
    <w:bookmarkStart w:id="28" w:name="步骤4-ml模型共9个2个线性基线-7个非线性模型"/>
    <w:p>
      <w:pPr>
        <w:pStyle w:val="Heading2"/>
      </w:pPr>
      <w:r>
        <w:t xml:space="preserve">步骤4: ML模型（共9个：2个线性基线 + 7个非线性模型）</w:t>
      </w:r>
    </w:p>
    <w:p>
      <w:pPr>
        <w:pStyle w:val="FirstParagraph"/>
      </w:pPr>
      <w:r>
        <w:rPr>
          <w:bCs/>
          <w:b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src/models.py</w:t>
      </w:r>
    </w:p>
    <w:p>
      <w:pPr>
        <w:pStyle w:val="BodyText"/>
      </w:pPr>
      <w:r>
        <w:rPr>
          <w:bCs/>
          <w:b/>
        </w:rPr>
        <w:t xml:space="preserve">线性基线</w:t>
      </w:r>
      <w:r>
        <w:t xml:space="preserve">（证明非线性建模的必要性）: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Ridge 回归</w:t>
      </w:r>
      <w:r>
        <w:t xml:space="preserve"> </w:t>
      </w:r>
      <w:r>
        <w:t xml:space="preserve">— L2 正则化线性模型，作为简单基线；系数符号和大小可用于验证物理直觉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Lasso 回归</w:t>
      </w:r>
      <w:r>
        <w:t xml:space="preserve"> </w:t>
      </w:r>
      <w:r>
        <w:t xml:space="preserve">— L1 正则化，自带特征选择，可观察哪些特征被压缩到零</w:t>
      </w:r>
    </w:p>
    <w:p>
      <w:pPr>
        <w:pStyle w:val="BodyText"/>
      </w:pPr>
      <w:r>
        <w:rPr>
          <w:bCs/>
          <w:b/>
        </w:rPr>
        <w:t xml:space="preserve">非线性模型</w:t>
      </w:r>
      <w:r>
        <w:t xml:space="preserve">: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Random Forest</w:t>
      </w:r>
      <w:r>
        <w:t xml:space="preserve"> </w:t>
      </w:r>
      <w:r>
        <w:t xml:space="preserve">— 集成基线，对异常值鲁棒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XGBoost</w:t>
      </w:r>
      <w:r>
        <w:t xml:space="preserve"> </w:t>
      </w:r>
      <w:r>
        <w:t xml:space="preserve">— 预期最优，原生支持NaN处理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LightGBM</w:t>
      </w:r>
      <w:r>
        <w:t xml:space="preserve"> </w:t>
      </w:r>
      <w:r>
        <w:t xml:space="preserve">— 训练速度快，通常与XGBoost性能相近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GradientBoostingRegressor</w:t>
      </w:r>
      <w:r>
        <w:t xml:space="preserve"> </w:t>
      </w:r>
      <w:r>
        <w:t xml:space="preserve">(sklearn) — 传统GBDT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SVR</w:t>
      </w:r>
      <w:r>
        <w:t xml:space="preserve"> </w:t>
      </w:r>
      <w:r>
        <w:t xml:space="preserve">(RBF核) — 需要StandardScaler + 目标变量log1p变换</w:t>
      </w:r>
      <w:r>
        <w:t xml:space="preserve"> </w:t>
      </w:r>
      <w:r>
        <w:t xml:space="preserve">8.</w:t>
      </w:r>
      <w:r>
        <w:t xml:space="preserve"> </w:t>
      </w:r>
      <w:r>
        <w:rPr>
          <w:bCs/>
          <w:b/>
        </w:rPr>
        <w:t xml:space="preserve">Gaussian Process Regression</w:t>
      </w:r>
      <w:r>
        <w:t xml:space="preserve"> </w:t>
      </w:r>
      <w:r>
        <w:t xml:space="preserve">— 提供预测不确定性</w:t>
      </w:r>
      <w:r>
        <w:t xml:space="preserve"> </w:t>
      </w:r>
      <w:r>
        <w:t xml:space="preserve">9.</w:t>
      </w:r>
      <w:r>
        <w:t xml:space="preserve"> </w:t>
      </w:r>
      <w:r>
        <w:rPr>
          <w:bCs/>
          <w:b/>
        </w:rPr>
        <w:t xml:space="preserve">TabPFN (TabPFNRegressor)</w:t>
      </w:r>
      <w:r>
        <w:t xml:space="preserve"> </w:t>
      </w:r>
      <w:r>
        <w:t xml:space="preserve">— 表格基础模型（Nature 2025, Hollmann et al.），基于Transformer的预训练先验数据拟合网络，无需超参调优。作为深度学习基线，对比</w:t>
      </w:r>
      <w:r>
        <w:t xml:space="preserve">“</w:t>
      </w:r>
      <w:r>
        <w:t xml:space="preserve">传统ML</w:t>
      </w:r>
      <w:r>
        <w:t xml:space="preserve">”</w:t>
      </w:r>
      <w:r>
        <w:t xml:space="preserve">与</w:t>
      </w:r>
      <w:r>
        <w:t xml:space="preserve">“</w:t>
      </w:r>
      <w:r>
        <w:t xml:space="preserve">基础模型</w:t>
      </w:r>
      <w:r>
        <w:t xml:space="preserve">”</w:t>
      </w:r>
      <w:r>
        <w:t xml:space="preserve">范式在小样本表格回归上的表现</w:t>
      </w:r>
    </w:p>
    <w:p>
      <w:pPr>
        <w:pStyle w:val="BodyText"/>
      </w:pPr>
      <w:r>
        <w:rPr>
          <w:bCs/>
          <w:b/>
        </w:rPr>
        <w:t xml:space="preserve">四条预处理管道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管道A（线性模型）</w:t>
      </w:r>
      <w:r>
        <w:t xml:space="preserve">: 分类变量用OneHotEncoder（稀疏性可接受），数值特征做StandardScaler，缺失值用SimpleImputer(median)填充解析列的NaN。Ridge/Lasso 的 alpha 通过内层CV调优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管道B（树模型）</w:t>
      </w:r>
      <w:r>
        <w:t xml:space="preserve">: 分类变量用OrdinalEncoder，数值特征原生支持NaN，无需缩放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管道C（SVR/GPR）</w:t>
      </w:r>
      <w:r>
        <w:t xml:space="preserve">: 高基数分类变量用TargetEncoder，所有特征做StandardScaler，目标变量做log1p变换，缺失值用SimpleImputer(median)填充解析列的NaN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管道D（TabPFN）</w:t>
      </w:r>
      <w:r>
        <w:t xml:space="preserve">: 分类变量用OrdinalEncoder，无需缩放（TabPFN内置PowerTransformer/QuantileTransformer/RobustScaler集成预处理），NaN可直接传入（TabPFN原生处理缺失值）。无需超参调优——作为唯一零超参模型，直接参与嵌套CV评估</w:t>
      </w:r>
    </w:p>
    <w:bookmarkEnd w:id="28"/>
    <w:bookmarkStart w:id="29" w:name="步骤5-模型评估"/>
    <w:p>
      <w:pPr>
        <w:pStyle w:val="Heading2"/>
      </w:pPr>
      <w:r>
        <w:t xml:space="preserve">步骤5: 模型评估</w:t>
      </w:r>
    </w:p>
    <w:p>
      <w:pPr>
        <w:pStyle w:val="FirstParagraph"/>
      </w:pPr>
      <w:r>
        <w:rPr>
          <w:bCs/>
          <w:b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src/train.py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src/evaluate.py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嵌套CV</w:t>
      </w:r>
      <w:r>
        <w:t xml:space="preserve">: 外层5折，内层3折，获得无偏性能估计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分层分组交叉验证</w:t>
      </w:r>
      <w:r>
        <w:t xml:space="preserve">: 使用</w:t>
      </w:r>
      <w:r>
        <w:t xml:space="preserve"> </w:t>
      </w:r>
      <w:r>
        <w:rPr>
          <w:rStyle w:val="VerbatimChar"/>
        </w:rPr>
        <w:t xml:space="preserve">StratifiedGroupKFold</w:t>
      </w:r>
      <w:r>
        <w:t xml:space="preserve">（以CO2 uptake分箱值为分层标签，</w:t>
      </w:r>
      <w:r>
        <w:rPr>
          <w:rStyle w:val="VerbatimChar"/>
        </w:rPr>
        <w:t xml:space="preserve">study_group</w:t>
      </w:r>
      <w:r>
        <w:t xml:space="preserve"> </w:t>
      </w:r>
      <w:r>
        <w:t xml:space="preserve">为分组依据），确保每折CO2吸附量分布有代表性，同时防止同一研究的样本泄露到不同折。与普通GroupKFold对比，评估分层带来的改善。</w:t>
      </w:r>
    </w:p>
    <w:p>
      <w:pPr>
        <w:numPr>
          <w:ilvl w:val="1"/>
          <w:numId w:val="1003"/>
        </w:numPr>
        <w:pStyle w:val="Compact"/>
      </w:pPr>
      <w:r>
        <w:t xml:space="preserve">分层方案：将 CO2 uptake 按其分布切分为 5 个箱（q20/q40/q60/q80 分位数），生成分层标签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StratifiedGroupKFold</w:t>
      </w:r>
      <w:r>
        <w:t xml:space="preserve"> </w:t>
      </w:r>
      <w:r>
        <w:t xml:space="preserve">实现：sklearn 未原生提供，使用</w:t>
      </w:r>
      <w:r>
        <w:t xml:space="preserve"> </w:t>
      </w:r>
      <w:r>
        <w:rPr>
          <w:rStyle w:val="VerbatimChar"/>
        </w:rPr>
        <w:t xml:space="preserve">sklearn.model_selection.StratifiedKFold</w:t>
      </w:r>
      <w:r>
        <w:t xml:space="preserve"> </w:t>
      </w:r>
      <w:r>
        <w:t xml:space="preserve">对分箱标签分层，再在每折内验证 group 无交叉污染；若存在污染则回退到 GroupKFold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样本权重（Sample Weights）</w:t>
      </w:r>
      <w:r>
        <w:t xml:space="preserve">: XGBoost/LightGBM 训练时，根据目标值密度分配样本权重，使稀有吸附量区间的样本获得更高权重，缓解类别不平衡导致的尾部预测偏差。</w:t>
      </w:r>
    </w:p>
    <w:p>
      <w:pPr>
        <w:numPr>
          <w:ilvl w:val="1"/>
          <w:numId w:val="1004"/>
        </w:numPr>
        <w:pStyle w:val="Compact"/>
      </w:pPr>
      <w:r>
        <w:t xml:space="preserve">实现：对 CO2 uptake 做核密度估计（KDE），</w:t>
      </w:r>
      <w:r>
        <w:rPr>
          <w:rStyle w:val="VerbatimChar"/>
        </w:rPr>
        <w:t xml:space="preserve">sample_weight = 1 / density</w:t>
      </w:r>
      <w:r>
        <w:t xml:space="preserve">，归一化到均值为 1</w:t>
      </w:r>
    </w:p>
    <w:p>
      <w:pPr>
        <w:numPr>
          <w:ilvl w:val="1"/>
          <w:numId w:val="1004"/>
        </w:numPr>
        <w:pStyle w:val="Compact"/>
      </w:pPr>
      <w:r>
        <w:t xml:space="preserve">作为可选增强：对每个模型分别训练加权/不加权版本，对比尾部（</w:t>
      </w:r>
      <w:r>
        <w:t xml:space="preserve">q90）的 RMSE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评估指标</w:t>
      </w:r>
      <w:r>
        <w:t xml:space="preserve">: R², RMSE (mg/g), MAE (mg/g), MAPE (%), 额外报告 q10/q90 尾部 RMSE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超参调优</w:t>
      </w:r>
      <w:r>
        <w:t xml:space="preserve">: Optuna TPE，每模型100次试验（TabPFN除外——零超参模型），最小化RMSE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最终模型</w:t>
      </w:r>
      <w:r>
        <w:t xml:space="preserve">: 超参确定后在全量训练数据上训练最优模型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线性-非线性性能差距</w:t>
      </w:r>
      <w:r>
        <w:t xml:space="preserve">: 若最优非线性模型的 R² 仅略高于 Ridge（差距 &lt; 0.05），则论文重心应从</w:t>
      </w:r>
      <w:r>
        <w:t xml:space="preserve">“</w:t>
      </w:r>
      <w:r>
        <w:t xml:space="preserve">非线性建模</w:t>
      </w:r>
      <w:r>
        <w:t xml:space="preserve">”</w:t>
      </w:r>
      <w:r>
        <w:t xml:space="preserve">转向</w:t>
      </w:r>
      <w:r>
        <w:t xml:space="preserve">“</w:t>
      </w:r>
      <w:r>
        <w:t xml:space="preserve">特征本身即具有强预测力</w:t>
      </w:r>
      <w:r>
        <w:t xml:space="preserve">”</w:t>
      </w:r>
      <w:r>
        <w:t xml:space="preserve">的讨论；反之，若差距 &gt; 0.10，则非线性建模的必要性得到有力支撑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TabPFN 与传统ML对比</w:t>
      </w:r>
      <w:r>
        <w:t xml:space="preserve">: 若 TabPFN 在零超参条件下达到与传统调优模型相当的 R²（差距 &lt; 0.03），则基础模型范式的优势得到强支撑——这一发现本身具备发表价值。同时对比 TabPFN 使用原始含NaN数据 vs 填补后数据的性能差异，评估其原生缺失值处理的有效性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消融实验</w:t>
      </w:r>
      <w:r>
        <w:t xml:space="preserve">: 比较4种特征集（含/不含MgO_crystallite_size、解析特征 vs 原始文本、Vmicro填补 vs 仅Vmicro完整样本）</w:t>
      </w:r>
    </w:p>
    <w:bookmarkEnd w:id="29"/>
    <w:bookmarkStart w:id="32" w:name="步骤6-shap可解释性分析"/>
    <w:p>
      <w:pPr>
        <w:pStyle w:val="Heading2"/>
      </w:pPr>
      <w:r>
        <w:t xml:space="preserve">步骤6: SHAP可解释性分析</w:t>
      </w:r>
    </w:p>
    <w:p>
      <w:pPr>
        <w:pStyle w:val="FirstParagraph"/>
      </w:pPr>
      <w:r>
        <w:rPr>
          <w:bCs/>
          <w:b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src/shap_analysis.py</w:t>
      </w:r>
    </w:p>
    <w:bookmarkStart w:id="30" w:name="a.-多重共线性诊断shap分析前置步骤"/>
    <w:p>
      <w:pPr>
        <w:pStyle w:val="Heading3"/>
      </w:pPr>
      <w:r>
        <w:t xml:space="preserve">6a. 多重共线性诊断（SHAP分析前置步骤）</w:t>
      </w:r>
    </w:p>
    <w:p>
      <w:pPr>
        <w:pStyle w:val="FirstParagraph"/>
      </w:pPr>
      <w:r>
        <w:rPr>
          <w:bCs/>
          <w:b/>
        </w:rPr>
        <w:t xml:space="preserve">背景</w:t>
      </w:r>
      <w:r>
        <w:t xml:space="preserve">: SBET、Vtotal、Vmicro 等孔结构参数在物理上高度耦合，树模型对共线性鲁棒，但 SHAP 值在高度相关特征间的分配会不稳定。审稿人可能据此质疑归因结论。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方差膨胀因子（VIF）</w:t>
      </w:r>
      <w:r>
        <w:t xml:space="preserve">: 对所有数值特征计算 VIF，VIF &gt; 10 标记为高度共线。结果以表格形式呈现于论文 Methods 部分。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Spearman 层次聚类</w:t>
      </w:r>
      <w:r>
        <w:t xml:space="preserve">: 对数值特征计算 Spearman 相关系数矩阵，以层次聚类（Ward法）识别共线特征簇。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归因策略</w:t>
      </w:r>
      <w:r>
        <w:t xml:space="preserve">: 对于高度共线的特征簇（如 SBET/Vtotal/Vmicro），除报告个体 SHAP 外，额外报告</w:t>
      </w:r>
      <w:r>
        <w:rPr>
          <w:bCs/>
          <w:b/>
        </w:rPr>
        <w:t xml:space="preserve">簇级 SHAP</w:t>
      </w:r>
      <w:r>
        <w:t xml:space="preserve">（将簇内各特征 SHAP 值求和）。论文中讨论特征重要性时，对共线特征以簇为单位解读，避免武断声称某个单一孔结构参数比另一个更重要。</w:t>
      </w:r>
    </w:p>
    <w:bookmarkEnd w:id="30"/>
    <w:bookmarkStart w:id="31" w:name="b.-shap-分析"/>
    <w:p>
      <w:pPr>
        <w:pStyle w:val="Heading3"/>
      </w:pPr>
      <w:r>
        <w:t xml:space="preserve">6b. SHAP 分析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TreeExplainer</w:t>
      </w:r>
      <w:r>
        <w:t xml:space="preserve"> </w:t>
      </w:r>
      <w:r>
        <w:t xml:space="preserve">用于XGBoost/LightGBM/RF（精确SHAP值，</w:t>
      </w:r>
      <w:r>
        <w:rPr>
          <w:rStyle w:val="VerbatimChar"/>
        </w:rPr>
        <w:t xml:space="preserve">feature_perturbation="interventional"</w:t>
      </w:r>
      <w:r>
        <w:t xml:space="preserve"> </w:t>
      </w:r>
      <w:r>
        <w:t xml:space="preserve">以进一步缓解共线性影响）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KernelExplainer</w:t>
      </w:r>
      <w:r>
        <w:t xml:space="preserve"> </w:t>
      </w:r>
      <w:r>
        <w:t xml:space="preserve">用于SVR/GPR（在100条样本子集上计算）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TabPFN 可解释性</w:t>
      </w:r>
      <w:r>
        <w:t xml:space="preserve">: TabPFN 作为Transformer架构，精确SHAP计算开销极大。采用</w:t>
      </w:r>
      <w:r>
        <w:rPr>
          <w:bCs/>
          <w:b/>
        </w:rPr>
        <w:t xml:space="preserve">排列特征重要性（Permutation Importance）</w:t>
      </w:r>
      <w:r>
        <w:t xml:space="preserve">作为替代，在嵌套CV的测试折上计算每个特征对RMSE的边际贡献。同时将 TabPFN 的排列重要性与 XGBoost 的 SHAP 值做 Spearman 秩相关，评估两种范式的归因一致性</w:t>
      </w:r>
    </w:p>
    <w:p>
      <w:pPr>
        <w:numPr>
          <w:ilvl w:val="0"/>
          <w:numId w:val="1006"/>
        </w:numPr>
        <w:pStyle w:val="Compact"/>
      </w:pPr>
      <w:r>
        <w:t xml:space="preserve">图表: beeswarm汇总图（标注共线特征簇）、条形图（个体 + 簇级）、top 5特征依赖图、最佳/最差预测的waterfall图</w:t>
      </w:r>
    </w:p>
    <w:bookmarkEnd w:id="31"/>
    <w:bookmarkEnd w:id="32"/>
    <w:bookmarkStart w:id="33" w:name="步骤7-论文图表"/>
    <w:p>
      <w:pPr>
        <w:pStyle w:val="Heading2"/>
      </w:pPr>
      <w:r>
        <w:t xml:space="preserve">步骤7: 论文图表</w:t>
      </w:r>
    </w:p>
    <w:p>
      <w:pPr>
        <w:pStyle w:val="FirstParagraph"/>
      </w:pPr>
      <w:r>
        <w:rPr>
          <w:bCs/>
          <w:b/>
        </w:rPr>
        <w:t xml:space="preserve">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src/plotting.py</w:t>
      </w:r>
      <w:r>
        <w:t xml:space="preserve">（全部300 DPI，统一seaborn风格）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图号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特征相关性热力图（clustermap，Spearman，标注VIF&gt;10的共线簇）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不同前驱体类型的CO2吸附量分布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模型性能对比柱状图（R² + RMSE，9个模型，含线性基线Ridge/Lasso和TabPFN基础模型，标注线性-非线性-基础模型性能差距）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预测值vs实验值散点图，按SBET着色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SHAP summary beeswarm图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Top 3特征的SHAP依赖图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残差分析（2×2: 残差vs拟合值、Q-Q图、直方图、Cook距离）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Top 4特征的部分依赖图 + ICE</w:t>
            </w:r>
          </w:p>
        </w:tc>
      </w:tr>
    </w:tbl>
    <w:bookmarkEnd w:id="33"/>
    <w:bookmarkStart w:id="34" w:name="步骤8-论文大纲"/>
    <w:p>
      <w:pPr>
        <w:pStyle w:val="Heading2"/>
      </w:pPr>
      <w:r>
        <w:t xml:space="preserve">步骤8: 论文大纲</w:t>
      </w:r>
    </w:p>
    <w:p>
      <w:pPr>
        <w:pStyle w:val="FirstParagraph"/>
      </w:pPr>
      <w:r>
        <w:rPr>
          <w:bCs/>
          <w:b/>
        </w:rPr>
        <w:t xml:space="preserve">标题</w:t>
      </w:r>
      <w:r>
        <w:t xml:space="preserve">:</w:t>
      </w:r>
      <w:r>
        <w:t xml:space="preserve"> </w:t>
      </w:r>
      <w:r>
        <w:t xml:space="preserve">“</w:t>
      </w:r>
      <w:r>
        <w:t xml:space="preserve">Machine Learning Prediction of CO2 Adsorption Capacity on Biomass-Derived MgO-Modified Porous Carbons: From Traditional Models to Tabular Foundation Models with SHAP Interpretability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章节</w:t>
      </w:r>
      <w:r>
        <w:t xml:space="preserve">: Introduction → Methods (Dataset, Preprocessing, Feature Engineering, ML Algorithms, Evaluation) → Results &amp; Discussion (EDA, Model Comparison, SHAP Interpretation, Ablation Study, Limitations) → Conclusion</w:t>
      </w:r>
    </w:p>
    <w:p>
      <w:r>
        <w:pict>
          <v:rect style="width:0;height:1.5pt" o:hralign="center" o:hrstd="t" o:hr="t"/>
        </w:pict>
      </w:r>
    </w:p>
    <w:bookmarkEnd w:id="34"/>
    <w:bookmarkStart w:id="35" w:name="实施顺序"/>
    <w:p>
      <w:pPr>
        <w:pStyle w:val="Heading2"/>
      </w:pPr>
      <w:r>
        <w:t xml:space="preserve">实施顺序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config.py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data_loader.py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feature_engineering.py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preprocessing.py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models.py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evaluate.py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shap_analysis.py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plotting.py</w:t>
      </w:r>
    </w:p>
    <w:p>
      <w:pPr>
        <w:numPr>
          <w:ilvl w:val="0"/>
          <w:numId w:val="1007"/>
        </w:numPr>
        <w:pStyle w:val="Compact"/>
      </w:pPr>
      <w:r>
        <w:t xml:space="preserve">Notebooks（按顺序: 01→07）</w:t>
      </w:r>
    </w:p>
    <w:p>
      <w:pPr>
        <w:numPr>
          <w:ilvl w:val="0"/>
          <w:numId w:val="1007"/>
        </w:numPr>
        <w:pStyle w:val="Compact"/>
      </w:pPr>
      <w:r>
        <w:t xml:space="preserve">生成所有论文图表</w:t>
      </w:r>
    </w:p>
    <w:p>
      <w:r>
        <w:pict>
          <v:rect style="width:0;height:1.5pt" o:hralign="center" o:hrstd="t" o:hr="t"/>
        </w:pict>
      </w:r>
    </w:p>
    <w:bookmarkEnd w:id="35"/>
    <w:bookmarkStart w:id="36" w:name="验证标准"/>
    <w:p>
      <w:pPr>
        <w:pStyle w:val="Heading2"/>
      </w:pPr>
      <w:r>
        <w:t xml:space="preserve">验证标准</w:t>
      </w:r>
    </w:p>
    <w:p>
      <w:pPr>
        <w:numPr>
          <w:ilvl w:val="0"/>
          <w:numId w:val="1008"/>
        </w:numPr>
        <w:pStyle w:val="Compact"/>
      </w:pPr>
      <w:r>
        <w:t xml:space="preserve">运行嵌套CV，确认XGBoost/LightGBM在测试集上R² &gt; 0.80</w:t>
      </w:r>
    </w:p>
    <w:p>
      <w:pPr>
        <w:numPr>
          <w:ilvl w:val="0"/>
          <w:numId w:val="1008"/>
        </w:numPr>
        <w:pStyle w:val="Compact"/>
      </w:pPr>
      <w:r>
        <w:t xml:space="preserve">最优非线性模型R² - Ridge R² ≥ 0.05，证明非线性建模的必要性；若差距&lt;0.05，论文重心需调整</w:t>
      </w:r>
    </w:p>
    <w:p>
      <w:pPr>
        <w:numPr>
          <w:ilvl w:val="0"/>
          <w:numId w:val="1008"/>
        </w:numPr>
        <w:pStyle w:val="Compact"/>
      </w:pPr>
      <w:r>
        <w:t xml:space="preserve">TabPFN 零超参性能应至少与调优后的RF相当；若超过XGBoost，则基础模型范式在小样本材料回归上的优势是重要发现</w:t>
      </w:r>
    </w:p>
    <w:p>
      <w:pPr>
        <w:numPr>
          <w:ilvl w:val="0"/>
          <w:numId w:val="1008"/>
        </w:numPr>
        <w:pStyle w:val="Compact"/>
      </w:pPr>
      <w:r>
        <w:t xml:space="preserve">SHAP top特征在XGBoost、LightGBM、RF之间一致</w:t>
      </w:r>
    </w:p>
    <w:p>
      <w:pPr>
        <w:numPr>
          <w:ilvl w:val="0"/>
          <w:numId w:val="1008"/>
        </w:numPr>
        <w:pStyle w:val="Compact"/>
      </w:pPr>
      <w:r>
        <w:t xml:space="preserve">TabPFN 排列重要性与XGBoost SHAP值的Spearman秩相关 ρ &gt; 0.6，表明两种范式的归因一致</w:t>
      </w:r>
    </w:p>
    <w:p>
      <w:pPr>
        <w:numPr>
          <w:ilvl w:val="0"/>
          <w:numId w:val="1008"/>
        </w:numPr>
        <w:pStyle w:val="Compact"/>
      </w:pPr>
      <w:r>
        <w:t xml:space="preserve">检查StratifiedGroupKFold与普通KFold的R²差距；若&gt;0.05，说明存在批次效应/分布偏移，需在论文中讨论</w:t>
      </w:r>
    </w:p>
    <w:p>
      <w:pPr>
        <w:numPr>
          <w:ilvl w:val="0"/>
          <w:numId w:val="1008"/>
        </w:numPr>
        <w:pStyle w:val="Compact"/>
      </w:pPr>
      <w:r>
        <w:t xml:space="preserve">对比Vmicro填补模型与仅Vmicro完整样本模型；R²差距应&lt;0.10</w:t>
      </w:r>
    </w:p>
    <w:p>
      <w:pPr>
        <w:numPr>
          <w:ilvl w:val="0"/>
          <w:numId w:val="1008"/>
        </w:numPr>
        <w:pStyle w:val="Compact"/>
      </w:pPr>
      <w:r>
        <w:t xml:space="preserve">所有图表以300 DPI输出至</w:t>
      </w:r>
      <w:r>
        <w:t xml:space="preserve"> </w:t>
      </w:r>
      <w:r>
        <w:rPr>
          <w:rStyle w:val="VerbatimChar"/>
        </w:rPr>
        <w:t xml:space="preserve">outputs/figures/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2026-05-19T09:17:42Z</dcterms:created>
  <dcterms:modified xsi:type="dcterms:W3CDTF">2026-05-19T09:17:42Z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