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i w:val="0"/>
          <w:sz w:val="24"/>
        </w:rPr>
        <w:t>2. Data and Methodology</w:t>
      </w:r>
    </w:p>
    <w:p>
      <w:pPr>
        <w:pStyle w:val="Heading2"/>
      </w:pPr>
      <w:r>
        <w:rPr>
          <w:rFonts w:ascii="Times New Roman" w:hAnsi="Times New Roman"/>
          <w:b w:val="0"/>
          <w:i w:val="0"/>
          <w:sz w:val="24"/>
        </w:rPr>
        <w:t>2.1 Data Collection</w:t>
      </w:r>
    </w:p>
    <w:p>
      <w:r>
        <w:rPr>
          <w:rFonts w:ascii="Times New Roman" w:hAnsi="Times New Roman"/>
          <w:b/>
          <w:i w:val="0"/>
          <w:sz w:val="24"/>
        </w:rPr>
        <w:t>Data source and compilation.</w:t>
      </w:r>
      <w:r>
        <w:rPr>
          <w:rFonts w:ascii="Times New Roman" w:hAnsi="Times New Roman"/>
          <w:b w:val="0"/>
          <w:i w:val="0"/>
          <w:sz w:val="24"/>
        </w:rPr>
        <w:t xml:space="preserve"> The dataset used in this study was compiled from published experimental investigations on biomass-derived MgO-modified porous carbon materials for CO₂ adsorption. A systematic literature survey was conducted to identify studies reporting both material synthesis conditions and the corresponding CO₂ uptake measurements under specified temperature and pressure conditions. After curation and deduplication, a total of </w:t>
      </w:r>
      <w:r>
        <w:rPr>
          <w:rFonts w:ascii="Times New Roman" w:hAnsi="Times New Roman"/>
          <w:b/>
          <w:i w:val="0"/>
          <w:sz w:val="24"/>
        </w:rPr>
        <w:t>341 experimental observations</w:t>
      </w:r>
      <w:r>
        <w:rPr>
          <w:rFonts w:ascii="Times New Roman" w:hAnsi="Times New Roman"/>
          <w:b w:val="0"/>
          <w:i w:val="0"/>
          <w:sz w:val="24"/>
        </w:rPr>
        <w:t xml:space="preserve"> were retained, each representing a distinct combination of carbon precursor, MgO precursor, synthesis protocol, and adsorption conditions.</w:t>
      </w:r>
    </w:p>
    <w:p>
      <w:r>
        <w:rPr>
          <w:rFonts w:ascii="Times New Roman" w:hAnsi="Times New Roman"/>
          <w:b/>
          <w:i w:val="0"/>
          <w:sz w:val="24"/>
        </w:rPr>
        <w:t>Raw data structure.</w:t>
      </w:r>
      <w:r>
        <w:rPr>
          <w:rFonts w:ascii="Times New Roman" w:hAnsi="Times New Roman"/>
          <w:b w:val="0"/>
          <w:i w:val="0"/>
          <w:sz w:val="24"/>
        </w:rPr>
        <w:t xml:space="preserve"> Each observation was characterized by 15 raw variables, encompassing precursor identity, synthesis route descriptors, textural properties, adsorption conditions, and the CO₂ uptake capacity. These variables are summarized in </w:t>
      </w:r>
      <w:r>
        <w:rPr>
          <w:rFonts w:ascii="Times New Roman" w:hAnsi="Times New Roman"/>
          <w:b/>
          <w:i w:val="0"/>
          <w:sz w:val="24"/>
        </w:rPr>
        <w:t>Table 1</w:t>
      </w:r>
      <w:r>
        <w:rPr>
          <w:rFonts w:ascii="Times New Roman" w:hAnsi="Times New Roman"/>
          <w:b w:val="0"/>
          <w:i w:val="0"/>
          <w:sz w:val="24"/>
        </w:rPr>
        <w:t xml:space="preserve">. A 16th column, </w:t>
      </w:r>
      <w:r>
        <w:rPr>
          <w:rFonts w:ascii="Consolas" w:hAnsi="Consolas"/>
          <w:b w:val="0"/>
          <w:i w:val="0"/>
          <w:sz w:val="21"/>
        </w:rPr>
        <w:t>References</w:t>
      </w:r>
      <w:r>
        <w:rPr>
          <w:rFonts w:ascii="Times New Roman" w:hAnsi="Times New Roman"/>
          <w:b w:val="0"/>
          <w:i w:val="0"/>
          <w:sz w:val="24"/>
        </w:rPr>
        <w:t>, containing bibliographic citations, was retained for traceability but excluded from the modeling feature set.</w:t>
      </w:r>
    </w:p>
    <w:p>
      <w:r>
        <w:rPr>
          <w:rFonts w:ascii="Times New Roman" w:hAnsi="Times New Roman"/>
          <w:b/>
          <w:i w:val="0"/>
          <w:sz w:val="24"/>
        </w:rPr>
        <w:t>Table 1.</w:t>
      </w:r>
      <w:r>
        <w:rPr>
          <w:rFonts w:ascii="Times New Roman" w:hAnsi="Times New Roman"/>
          <w:b w:val="0"/>
          <w:i w:val="0"/>
          <w:sz w:val="24"/>
        </w:rPr>
        <w:t xml:space="preserve"> Raw variables collected from published literature for each experimental observation (341 samples).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before="20" w:after="20"/>
              <w:jc w:val="center"/>
            </w:pPr>
            <w:r>
              <w:rPr>
                <w:rFonts w:ascii="Times New Roman" w:hAnsi="Times New Roman"/>
              </w:rPr>
            </w:r>
            <w:r>
              <w:rPr>
                <w:rFonts w:ascii="Times New Roman" w:hAnsi="Times New Roman"/>
                <w:b/>
                <w:sz w:val="20"/>
              </w:rPr>
              <w:t>No.</w:t>
            </w:r>
          </w:p>
        </w:tc>
        <w:tc>
          <w:tcPr>
            <w:tcW w:type="dxa" w:w="1872"/>
            <w:shd w:fill="D9E2F3"/>
          </w:tcPr>
          <w:p>
            <w:pPr>
              <w:spacing w:before="20" w:after="20"/>
              <w:jc w:val="center"/>
            </w:pPr>
            <w:r>
              <w:rPr>
                <w:rFonts w:ascii="Times New Roman" w:hAnsi="Times New Roman"/>
              </w:rPr>
            </w:r>
            <w:r>
              <w:rPr>
                <w:rFonts w:ascii="Times New Roman" w:hAnsi="Times New Roman"/>
                <w:b/>
                <w:sz w:val="20"/>
              </w:rPr>
              <w:t>Variable</w:t>
            </w:r>
          </w:p>
        </w:tc>
        <w:tc>
          <w:tcPr>
            <w:tcW w:type="dxa" w:w="1872"/>
            <w:shd w:fill="D9E2F3"/>
          </w:tcPr>
          <w:p>
            <w:pPr>
              <w:spacing w:before="20" w:after="20"/>
              <w:jc w:val="center"/>
            </w:pPr>
            <w:r>
              <w:rPr>
                <w:rFonts w:ascii="Times New Roman" w:hAnsi="Times New Roman"/>
              </w:rPr>
            </w:r>
            <w:r>
              <w:rPr>
                <w:rFonts w:ascii="Times New Roman" w:hAnsi="Times New Roman"/>
                <w:b/>
                <w:sz w:val="20"/>
              </w:rPr>
              <w:t>Type</w:t>
            </w:r>
          </w:p>
        </w:tc>
        <w:tc>
          <w:tcPr>
            <w:tcW w:type="dxa" w:w="1872"/>
            <w:shd w:fill="D9E2F3"/>
          </w:tcPr>
          <w:p>
            <w:pPr>
              <w:spacing w:before="20" w:after="20"/>
              <w:jc w:val="center"/>
            </w:pPr>
            <w:r>
              <w:rPr>
                <w:rFonts w:ascii="Times New Roman" w:hAnsi="Times New Roman"/>
              </w:rPr>
            </w:r>
            <w:r>
              <w:rPr>
                <w:rFonts w:ascii="Times New Roman" w:hAnsi="Times New Roman"/>
                <w:b/>
                <w:sz w:val="20"/>
              </w:rPr>
              <w:t>Description</w:t>
            </w:r>
          </w:p>
        </w:tc>
        <w:tc>
          <w:tcPr>
            <w:tcW w:type="dxa" w:w="1872"/>
            <w:shd w:fill="D9E2F3"/>
          </w:tcPr>
          <w:p>
            <w:pPr>
              <w:spacing w:before="20" w:after="20"/>
              <w:jc w:val="center"/>
            </w:pPr>
            <w:r>
              <w:rPr>
                <w:rFonts w:ascii="Times New Roman" w:hAnsi="Times New Roman"/>
              </w:rPr>
            </w:r>
            <w:r>
              <w:rPr>
                <w:rFonts w:ascii="Times New Roman" w:hAnsi="Times New Roman"/>
                <w:b/>
                <w:sz w:val="20"/>
              </w:rPr>
              <w:t>Missing (%)</w:t>
            </w:r>
          </w:p>
        </w:tc>
      </w:tr>
      <w:tr>
        <w:tc>
          <w:tcPr>
            <w:tcW w:type="dxa" w:w="1872"/>
          </w:tcPr>
          <w:p>
            <w:pPr>
              <w:spacing w:before="20" w:after="20"/>
            </w:pPr>
            <w:r>
              <w:rPr>
                <w:rFonts w:ascii="Times New Roman" w:hAnsi="Times New Roman"/>
              </w:rPr>
            </w:r>
            <w:r>
              <w:rPr>
                <w:rFonts w:ascii="Times New Roman" w:hAnsi="Times New Roman"/>
                <w:sz w:val="19"/>
              </w:rPr>
              <w:t>1</w:t>
            </w:r>
          </w:p>
        </w:tc>
        <w:tc>
          <w:tcPr>
            <w:tcW w:type="dxa" w:w="1872"/>
          </w:tcPr>
          <w:p>
            <w:pPr>
              <w:spacing w:before="20" w:after="20"/>
            </w:pPr>
            <w:r>
              <w:rPr>
                <w:rFonts w:ascii="Times New Roman" w:hAnsi="Times New Roman"/>
              </w:rPr>
            </w:r>
            <w:r>
              <w:rPr>
                <w:rFonts w:ascii="Times New Roman" w:hAnsi="Times New Roman"/>
                <w:sz w:val="19"/>
              </w:rPr>
              <w:t>`carbon_precursors`</w:t>
            </w:r>
          </w:p>
        </w:tc>
        <w:tc>
          <w:tcPr>
            <w:tcW w:type="dxa" w:w="1872"/>
          </w:tcPr>
          <w:p>
            <w:pPr>
              <w:spacing w:before="20" w:after="20"/>
            </w:pPr>
            <w:r>
              <w:rPr>
                <w:rFonts w:ascii="Times New Roman" w:hAnsi="Times New Roman"/>
              </w:rPr>
            </w:r>
            <w:r>
              <w:rPr>
                <w:rFonts w:ascii="Times New Roman" w:hAnsi="Times New Roman"/>
                <w:sz w:val="19"/>
              </w:rPr>
              <w:t>Categorical</w:t>
            </w:r>
          </w:p>
        </w:tc>
        <w:tc>
          <w:tcPr>
            <w:tcW w:type="dxa" w:w="1872"/>
          </w:tcPr>
          <w:p>
            <w:pPr>
              <w:spacing w:before="20" w:after="20"/>
            </w:pPr>
            <w:r>
              <w:rPr>
                <w:rFonts w:ascii="Times New Roman" w:hAnsi="Times New Roman"/>
              </w:rPr>
            </w:r>
            <w:r>
              <w:rPr>
                <w:rFonts w:ascii="Times New Roman" w:hAnsi="Times New Roman"/>
                <w:sz w:val="19"/>
              </w:rPr>
              <w:t>Carbon precursor material (e.g., sawdust, rice husk, walnut shell, coffee grounds)</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2</w:t>
            </w:r>
          </w:p>
        </w:tc>
        <w:tc>
          <w:tcPr>
            <w:tcW w:type="dxa" w:w="1872"/>
          </w:tcPr>
          <w:p>
            <w:pPr>
              <w:spacing w:before="20" w:after="20"/>
            </w:pPr>
            <w:r>
              <w:rPr>
                <w:rFonts w:ascii="Times New Roman" w:hAnsi="Times New Roman"/>
              </w:rPr>
            </w:r>
            <w:r>
              <w:rPr>
                <w:rFonts w:ascii="Times New Roman" w:hAnsi="Times New Roman"/>
                <w:sz w:val="19"/>
              </w:rPr>
              <w:t>`MgO_precursors`</w:t>
            </w:r>
          </w:p>
        </w:tc>
        <w:tc>
          <w:tcPr>
            <w:tcW w:type="dxa" w:w="1872"/>
          </w:tcPr>
          <w:p>
            <w:pPr>
              <w:spacing w:before="20" w:after="20"/>
            </w:pPr>
            <w:r>
              <w:rPr>
                <w:rFonts w:ascii="Times New Roman" w:hAnsi="Times New Roman"/>
              </w:rPr>
            </w:r>
            <w:r>
              <w:rPr>
                <w:rFonts w:ascii="Times New Roman" w:hAnsi="Times New Roman"/>
                <w:sz w:val="19"/>
              </w:rPr>
              <w:t>Categorical</w:t>
            </w:r>
          </w:p>
        </w:tc>
        <w:tc>
          <w:tcPr>
            <w:tcW w:type="dxa" w:w="1872"/>
          </w:tcPr>
          <w:p>
            <w:pPr>
              <w:spacing w:before="20" w:after="20"/>
            </w:pPr>
            <w:r>
              <w:rPr>
                <w:rFonts w:ascii="Times New Roman" w:hAnsi="Times New Roman"/>
              </w:rPr>
            </w:r>
            <w:r>
              <w:rPr>
                <w:rFonts w:ascii="Times New Roman" w:hAnsi="Times New Roman"/>
                <w:sz w:val="19"/>
              </w:rPr>
              <w:t>MgO precursor compound (e.g., Mg(NO₃)₂·6H₂O, Mg(CH₃COO)₂·4H₂O, MgCl₂·6H₂O)</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3</w:t>
            </w:r>
          </w:p>
        </w:tc>
        <w:tc>
          <w:tcPr>
            <w:tcW w:type="dxa" w:w="1872"/>
          </w:tcPr>
          <w:p>
            <w:pPr>
              <w:spacing w:before="20" w:after="20"/>
            </w:pPr>
            <w:r>
              <w:rPr>
                <w:rFonts w:ascii="Times New Roman" w:hAnsi="Times New Roman"/>
              </w:rPr>
            </w:r>
            <w:r>
              <w:rPr>
                <w:rFonts w:ascii="Times New Roman" w:hAnsi="Times New Roman"/>
                <w:sz w:val="19"/>
              </w:rPr>
              <w:t>`Mg_loading_method`</w:t>
            </w:r>
          </w:p>
        </w:tc>
        <w:tc>
          <w:tcPr>
            <w:tcW w:type="dxa" w:w="1872"/>
          </w:tcPr>
          <w:p>
            <w:pPr>
              <w:spacing w:before="20" w:after="20"/>
            </w:pPr>
            <w:r>
              <w:rPr>
                <w:rFonts w:ascii="Times New Roman" w:hAnsi="Times New Roman"/>
              </w:rPr>
            </w:r>
            <w:r>
              <w:rPr>
                <w:rFonts w:ascii="Times New Roman" w:hAnsi="Times New Roman"/>
                <w:sz w:val="19"/>
              </w:rPr>
              <w:t>Categorical</w:t>
            </w:r>
          </w:p>
        </w:tc>
        <w:tc>
          <w:tcPr>
            <w:tcW w:type="dxa" w:w="1872"/>
          </w:tcPr>
          <w:p>
            <w:pPr>
              <w:spacing w:before="20" w:after="20"/>
            </w:pPr>
            <w:r>
              <w:rPr>
                <w:rFonts w:ascii="Times New Roman" w:hAnsi="Times New Roman"/>
              </w:rPr>
            </w:r>
            <w:r>
              <w:rPr>
                <w:rFonts w:ascii="Times New Roman" w:hAnsi="Times New Roman"/>
                <w:sz w:val="19"/>
              </w:rPr>
              <w:t>Method of Mg incorporation (e.g., impregnation, ball milling, hydrothermal co-precipitation)</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4</w:t>
            </w:r>
          </w:p>
        </w:tc>
        <w:tc>
          <w:tcPr>
            <w:tcW w:type="dxa" w:w="1872"/>
          </w:tcPr>
          <w:p>
            <w:pPr>
              <w:spacing w:before="20" w:after="20"/>
            </w:pPr>
            <w:r>
              <w:rPr>
                <w:rFonts w:ascii="Times New Roman" w:hAnsi="Times New Roman"/>
              </w:rPr>
            </w:r>
            <w:r>
              <w:rPr>
                <w:rFonts w:ascii="Times New Roman" w:hAnsi="Times New Roman"/>
                <w:sz w:val="19"/>
              </w:rPr>
              <w:t>`Activation1`</w:t>
            </w:r>
          </w:p>
        </w:tc>
        <w:tc>
          <w:tcPr>
            <w:tcW w:type="dxa" w:w="1872"/>
          </w:tcPr>
          <w:p>
            <w:pPr>
              <w:spacing w:before="20" w:after="20"/>
            </w:pPr>
            <w:r>
              <w:rPr>
                <w:rFonts w:ascii="Times New Roman" w:hAnsi="Times New Roman"/>
              </w:rPr>
            </w:r>
            <w:r>
              <w:rPr>
                <w:rFonts w:ascii="Times New Roman" w:hAnsi="Times New Roman"/>
                <w:sz w:val="19"/>
              </w:rPr>
              <w:t>Text</w:t>
            </w:r>
          </w:p>
        </w:tc>
        <w:tc>
          <w:tcPr>
            <w:tcW w:type="dxa" w:w="1872"/>
          </w:tcPr>
          <w:p>
            <w:pPr>
              <w:spacing w:before="20" w:after="20"/>
            </w:pPr>
            <w:r>
              <w:rPr>
                <w:rFonts w:ascii="Times New Roman" w:hAnsi="Times New Roman"/>
              </w:rPr>
            </w:r>
            <w:r>
              <w:rPr>
                <w:rFonts w:ascii="Times New Roman" w:hAnsi="Times New Roman"/>
                <w:sz w:val="19"/>
              </w:rPr>
              <w:t>Description of primary activation step (temperature, duration, activating agent)</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5</w:t>
            </w:r>
          </w:p>
        </w:tc>
        <w:tc>
          <w:tcPr>
            <w:tcW w:type="dxa" w:w="1872"/>
          </w:tcPr>
          <w:p>
            <w:pPr>
              <w:spacing w:before="20" w:after="20"/>
            </w:pPr>
            <w:r>
              <w:rPr>
                <w:rFonts w:ascii="Times New Roman" w:hAnsi="Times New Roman"/>
              </w:rPr>
            </w:r>
            <w:r>
              <w:rPr>
                <w:rFonts w:ascii="Times New Roman" w:hAnsi="Times New Roman"/>
                <w:sz w:val="19"/>
              </w:rPr>
              <w:t>`Activation2`</w:t>
            </w:r>
          </w:p>
        </w:tc>
        <w:tc>
          <w:tcPr>
            <w:tcW w:type="dxa" w:w="1872"/>
          </w:tcPr>
          <w:p>
            <w:pPr>
              <w:spacing w:before="20" w:after="20"/>
            </w:pPr>
            <w:r>
              <w:rPr>
                <w:rFonts w:ascii="Times New Roman" w:hAnsi="Times New Roman"/>
              </w:rPr>
            </w:r>
            <w:r>
              <w:rPr>
                <w:rFonts w:ascii="Times New Roman" w:hAnsi="Times New Roman"/>
                <w:sz w:val="19"/>
              </w:rPr>
              <w:t>Text</w:t>
            </w:r>
          </w:p>
        </w:tc>
        <w:tc>
          <w:tcPr>
            <w:tcW w:type="dxa" w:w="1872"/>
          </w:tcPr>
          <w:p>
            <w:pPr>
              <w:spacing w:before="20" w:after="20"/>
            </w:pPr>
            <w:r>
              <w:rPr>
                <w:rFonts w:ascii="Times New Roman" w:hAnsi="Times New Roman"/>
              </w:rPr>
            </w:r>
            <w:r>
              <w:rPr>
                <w:rFonts w:ascii="Times New Roman" w:hAnsi="Times New Roman"/>
                <w:sz w:val="19"/>
              </w:rPr>
              <w:t>Description of secondary activation step; empty if not performed</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6</w:t>
            </w:r>
          </w:p>
        </w:tc>
        <w:tc>
          <w:tcPr>
            <w:tcW w:type="dxa" w:w="1872"/>
          </w:tcPr>
          <w:p>
            <w:pPr>
              <w:spacing w:before="20" w:after="20"/>
            </w:pPr>
            <w:r>
              <w:rPr>
                <w:rFonts w:ascii="Times New Roman" w:hAnsi="Times New Roman"/>
              </w:rPr>
            </w:r>
            <w:r>
              <w:rPr>
                <w:rFonts w:ascii="Times New Roman" w:hAnsi="Times New Roman"/>
                <w:sz w:val="19"/>
              </w:rPr>
              <w:t>`Carbonization1`</w:t>
            </w:r>
          </w:p>
        </w:tc>
        <w:tc>
          <w:tcPr>
            <w:tcW w:type="dxa" w:w="1872"/>
          </w:tcPr>
          <w:p>
            <w:pPr>
              <w:spacing w:before="20" w:after="20"/>
            </w:pPr>
            <w:r>
              <w:rPr>
                <w:rFonts w:ascii="Times New Roman" w:hAnsi="Times New Roman"/>
              </w:rPr>
            </w:r>
            <w:r>
              <w:rPr>
                <w:rFonts w:ascii="Times New Roman" w:hAnsi="Times New Roman"/>
                <w:sz w:val="19"/>
              </w:rPr>
              <w:t>Text</w:t>
            </w:r>
          </w:p>
        </w:tc>
        <w:tc>
          <w:tcPr>
            <w:tcW w:type="dxa" w:w="1872"/>
          </w:tcPr>
          <w:p>
            <w:pPr>
              <w:spacing w:before="20" w:after="20"/>
            </w:pPr>
            <w:r>
              <w:rPr>
                <w:rFonts w:ascii="Times New Roman" w:hAnsi="Times New Roman"/>
              </w:rPr>
            </w:r>
            <w:r>
              <w:rPr>
                <w:rFonts w:ascii="Times New Roman" w:hAnsi="Times New Roman"/>
                <w:sz w:val="19"/>
              </w:rPr>
              <w:t>Description of primary carbonization step</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7</w:t>
            </w:r>
          </w:p>
        </w:tc>
        <w:tc>
          <w:tcPr>
            <w:tcW w:type="dxa" w:w="1872"/>
          </w:tcPr>
          <w:p>
            <w:pPr>
              <w:spacing w:before="20" w:after="20"/>
            </w:pPr>
            <w:r>
              <w:rPr>
                <w:rFonts w:ascii="Times New Roman" w:hAnsi="Times New Roman"/>
              </w:rPr>
            </w:r>
            <w:r>
              <w:rPr>
                <w:rFonts w:ascii="Times New Roman" w:hAnsi="Times New Roman"/>
                <w:sz w:val="19"/>
              </w:rPr>
              <w:t>`Carbonization2`</w:t>
            </w:r>
          </w:p>
        </w:tc>
        <w:tc>
          <w:tcPr>
            <w:tcW w:type="dxa" w:w="1872"/>
          </w:tcPr>
          <w:p>
            <w:pPr>
              <w:spacing w:before="20" w:after="20"/>
            </w:pPr>
            <w:r>
              <w:rPr>
                <w:rFonts w:ascii="Times New Roman" w:hAnsi="Times New Roman"/>
              </w:rPr>
            </w:r>
            <w:r>
              <w:rPr>
                <w:rFonts w:ascii="Times New Roman" w:hAnsi="Times New Roman"/>
                <w:sz w:val="19"/>
              </w:rPr>
              <w:t>Text</w:t>
            </w:r>
          </w:p>
        </w:tc>
        <w:tc>
          <w:tcPr>
            <w:tcW w:type="dxa" w:w="1872"/>
          </w:tcPr>
          <w:p>
            <w:pPr>
              <w:spacing w:before="20" w:after="20"/>
            </w:pPr>
            <w:r>
              <w:rPr>
                <w:rFonts w:ascii="Times New Roman" w:hAnsi="Times New Roman"/>
              </w:rPr>
            </w:r>
            <w:r>
              <w:rPr>
                <w:rFonts w:ascii="Times New Roman" w:hAnsi="Times New Roman"/>
                <w:sz w:val="19"/>
              </w:rPr>
              <w:t>Description of secondary carbonization step; empty if not performed</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8</w:t>
            </w:r>
          </w:p>
        </w:tc>
        <w:tc>
          <w:tcPr>
            <w:tcW w:type="dxa" w:w="1872"/>
          </w:tcPr>
          <w:p>
            <w:pPr>
              <w:spacing w:before="20" w:after="20"/>
            </w:pPr>
            <w:r>
              <w:rPr>
                <w:rFonts w:ascii="Times New Roman" w:hAnsi="Times New Roman"/>
              </w:rPr>
            </w:r>
            <w:r>
              <w:rPr>
                <w:rFonts w:ascii="Times New Roman" w:hAnsi="Times New Roman"/>
                <w:sz w:val="19"/>
              </w:rPr>
              <w:t>`Post_treatment`</w:t>
            </w:r>
          </w:p>
        </w:tc>
        <w:tc>
          <w:tcPr>
            <w:tcW w:type="dxa" w:w="1872"/>
          </w:tcPr>
          <w:p>
            <w:pPr>
              <w:spacing w:before="20" w:after="20"/>
            </w:pPr>
            <w:r>
              <w:rPr>
                <w:rFonts w:ascii="Times New Roman" w:hAnsi="Times New Roman"/>
              </w:rPr>
            </w:r>
            <w:r>
              <w:rPr>
                <w:rFonts w:ascii="Times New Roman" w:hAnsi="Times New Roman"/>
                <w:sz w:val="19"/>
              </w:rPr>
              <w:t>Text</w:t>
            </w:r>
          </w:p>
        </w:tc>
        <w:tc>
          <w:tcPr>
            <w:tcW w:type="dxa" w:w="1872"/>
          </w:tcPr>
          <w:p>
            <w:pPr>
              <w:spacing w:before="20" w:after="20"/>
            </w:pPr>
            <w:r>
              <w:rPr>
                <w:rFonts w:ascii="Times New Roman" w:hAnsi="Times New Roman"/>
              </w:rPr>
            </w:r>
            <w:r>
              <w:rPr>
                <w:rFonts w:ascii="Times New Roman" w:hAnsi="Times New Roman"/>
                <w:sz w:val="19"/>
              </w:rPr>
              <w:t>Post-synthesis treatment (e.g., rinsing, sonication); empty if none</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9</w:t>
            </w:r>
          </w:p>
        </w:tc>
        <w:tc>
          <w:tcPr>
            <w:tcW w:type="dxa" w:w="1872"/>
          </w:tcPr>
          <w:p>
            <w:pPr>
              <w:spacing w:before="20" w:after="20"/>
            </w:pPr>
            <w:r>
              <w:rPr>
                <w:rFonts w:ascii="Times New Roman" w:hAnsi="Times New Roman"/>
              </w:rPr>
            </w:r>
            <w:r>
              <w:rPr>
                <w:rFonts w:ascii="Times New Roman" w:hAnsi="Times New Roman"/>
                <w:sz w:val="19"/>
              </w:rPr>
              <w:t>`SBET_m2_g`</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BET specific surface area (m²/g)</w:t>
            </w:r>
          </w:p>
        </w:tc>
        <w:tc>
          <w:tcPr>
            <w:tcW w:type="dxa" w:w="1872"/>
          </w:tcPr>
          <w:p>
            <w:pPr>
              <w:spacing w:before="20" w:after="20"/>
            </w:pPr>
            <w:r>
              <w:rPr>
                <w:rFonts w:ascii="Times New Roman" w:hAnsi="Times New Roman"/>
              </w:rPr>
            </w:r>
            <w:r>
              <w:rPr>
                <w:rFonts w:ascii="Times New Roman" w:hAnsi="Times New Roman"/>
                <w:sz w:val="19"/>
              </w:rPr>
              <w:t>15 (4.4%)</w:t>
            </w:r>
          </w:p>
        </w:tc>
      </w:tr>
      <w:tr>
        <w:tc>
          <w:tcPr>
            <w:tcW w:type="dxa" w:w="1872"/>
          </w:tcPr>
          <w:p>
            <w:pPr>
              <w:spacing w:before="20" w:after="20"/>
            </w:pPr>
            <w:r>
              <w:rPr>
                <w:rFonts w:ascii="Times New Roman" w:hAnsi="Times New Roman"/>
              </w:rPr>
            </w:r>
            <w:r>
              <w:rPr>
                <w:rFonts w:ascii="Times New Roman" w:hAnsi="Times New Roman"/>
                <w:sz w:val="19"/>
              </w:rPr>
              <w:t>10</w:t>
            </w:r>
          </w:p>
        </w:tc>
        <w:tc>
          <w:tcPr>
            <w:tcW w:type="dxa" w:w="1872"/>
          </w:tcPr>
          <w:p>
            <w:pPr>
              <w:spacing w:before="20" w:after="20"/>
            </w:pPr>
            <w:r>
              <w:rPr>
                <w:rFonts w:ascii="Times New Roman" w:hAnsi="Times New Roman"/>
              </w:rPr>
            </w:r>
            <w:r>
              <w:rPr>
                <w:rFonts w:ascii="Times New Roman" w:hAnsi="Times New Roman"/>
                <w:sz w:val="19"/>
              </w:rPr>
              <w:t>`Vtotal_cm3_g`</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Total pore volume (cm³/g)</w:t>
            </w:r>
          </w:p>
        </w:tc>
        <w:tc>
          <w:tcPr>
            <w:tcW w:type="dxa" w:w="1872"/>
          </w:tcPr>
          <w:p>
            <w:pPr>
              <w:spacing w:before="20" w:after="20"/>
            </w:pPr>
            <w:r>
              <w:rPr>
                <w:rFonts w:ascii="Times New Roman" w:hAnsi="Times New Roman"/>
              </w:rPr>
            </w:r>
            <w:r>
              <w:rPr>
                <w:rFonts w:ascii="Times New Roman" w:hAnsi="Times New Roman"/>
                <w:sz w:val="19"/>
              </w:rPr>
              <w:t>15 (4.4%)</w:t>
            </w:r>
          </w:p>
        </w:tc>
      </w:tr>
      <w:tr>
        <w:tc>
          <w:tcPr>
            <w:tcW w:type="dxa" w:w="1872"/>
          </w:tcPr>
          <w:p>
            <w:pPr>
              <w:spacing w:before="20" w:after="20"/>
            </w:pPr>
            <w:r>
              <w:rPr>
                <w:rFonts w:ascii="Times New Roman" w:hAnsi="Times New Roman"/>
              </w:rPr>
            </w:r>
            <w:r>
              <w:rPr>
                <w:rFonts w:ascii="Times New Roman" w:hAnsi="Times New Roman"/>
                <w:sz w:val="19"/>
              </w:rPr>
              <w:t>11</w:t>
            </w:r>
          </w:p>
        </w:tc>
        <w:tc>
          <w:tcPr>
            <w:tcW w:type="dxa" w:w="1872"/>
          </w:tcPr>
          <w:p>
            <w:pPr>
              <w:spacing w:before="20" w:after="20"/>
            </w:pPr>
            <w:r>
              <w:rPr>
                <w:rFonts w:ascii="Times New Roman" w:hAnsi="Times New Roman"/>
              </w:rPr>
            </w:r>
            <w:r>
              <w:rPr>
                <w:rFonts w:ascii="Times New Roman" w:hAnsi="Times New Roman"/>
                <w:sz w:val="19"/>
              </w:rPr>
              <w:t>`Vmicro_cm3_g`</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Micropore volume (cm³/g)</w:t>
            </w:r>
          </w:p>
        </w:tc>
        <w:tc>
          <w:tcPr>
            <w:tcW w:type="dxa" w:w="1872"/>
          </w:tcPr>
          <w:p>
            <w:pPr>
              <w:spacing w:before="20" w:after="20"/>
            </w:pPr>
            <w:r>
              <w:rPr>
                <w:rFonts w:ascii="Times New Roman" w:hAnsi="Times New Roman"/>
              </w:rPr>
            </w:r>
            <w:r>
              <w:rPr>
                <w:rFonts w:ascii="Times New Roman" w:hAnsi="Times New Roman"/>
                <w:sz w:val="19"/>
              </w:rPr>
              <w:t>144 (42.2%)</w:t>
            </w:r>
          </w:p>
        </w:tc>
      </w:tr>
      <w:tr>
        <w:tc>
          <w:tcPr>
            <w:tcW w:type="dxa" w:w="1872"/>
          </w:tcPr>
          <w:p>
            <w:pPr>
              <w:spacing w:before="20" w:after="20"/>
            </w:pPr>
            <w:r>
              <w:rPr>
                <w:rFonts w:ascii="Times New Roman" w:hAnsi="Times New Roman"/>
              </w:rPr>
            </w:r>
            <w:r>
              <w:rPr>
                <w:rFonts w:ascii="Times New Roman" w:hAnsi="Times New Roman"/>
                <w:sz w:val="19"/>
              </w:rPr>
              <w:t>12</w:t>
            </w:r>
          </w:p>
        </w:tc>
        <w:tc>
          <w:tcPr>
            <w:tcW w:type="dxa" w:w="1872"/>
          </w:tcPr>
          <w:p>
            <w:pPr>
              <w:spacing w:before="20" w:after="20"/>
            </w:pPr>
            <w:r>
              <w:rPr>
                <w:rFonts w:ascii="Times New Roman" w:hAnsi="Times New Roman"/>
              </w:rPr>
            </w:r>
            <w:r>
              <w:rPr>
                <w:rFonts w:ascii="Times New Roman" w:hAnsi="Times New Roman"/>
                <w:sz w:val="19"/>
              </w:rPr>
              <w:t>`MgO_crystallite_size_nm`</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MgO crystallite size estimated by Scherrer equation (nm)</w:t>
            </w:r>
          </w:p>
        </w:tc>
        <w:tc>
          <w:tcPr>
            <w:tcW w:type="dxa" w:w="1872"/>
          </w:tcPr>
          <w:p>
            <w:pPr>
              <w:spacing w:before="20" w:after="20"/>
            </w:pPr>
            <w:r>
              <w:rPr>
                <w:rFonts w:ascii="Times New Roman" w:hAnsi="Times New Roman"/>
              </w:rPr>
            </w:r>
            <w:r>
              <w:rPr>
                <w:rFonts w:ascii="Times New Roman" w:hAnsi="Times New Roman"/>
                <w:sz w:val="19"/>
              </w:rPr>
              <w:t>246 (72.1%)</w:t>
            </w:r>
          </w:p>
        </w:tc>
      </w:tr>
      <w:tr>
        <w:tc>
          <w:tcPr>
            <w:tcW w:type="dxa" w:w="1872"/>
          </w:tcPr>
          <w:p>
            <w:pPr>
              <w:spacing w:before="20" w:after="20"/>
            </w:pPr>
            <w:r>
              <w:rPr>
                <w:rFonts w:ascii="Times New Roman" w:hAnsi="Times New Roman"/>
              </w:rPr>
            </w:r>
            <w:r>
              <w:rPr>
                <w:rFonts w:ascii="Times New Roman" w:hAnsi="Times New Roman"/>
                <w:sz w:val="19"/>
              </w:rPr>
              <w:t>13</w:t>
            </w:r>
          </w:p>
        </w:tc>
        <w:tc>
          <w:tcPr>
            <w:tcW w:type="dxa" w:w="1872"/>
          </w:tcPr>
          <w:p>
            <w:pPr>
              <w:spacing w:before="20" w:after="20"/>
            </w:pPr>
            <w:r>
              <w:rPr>
                <w:rFonts w:ascii="Times New Roman" w:hAnsi="Times New Roman"/>
              </w:rPr>
            </w:r>
            <w:r>
              <w:rPr>
                <w:rFonts w:ascii="Times New Roman" w:hAnsi="Times New Roman"/>
                <w:sz w:val="19"/>
              </w:rPr>
              <w:t>`MgO_mass_ratio`</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MgO loading ratio in the composite</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14</w:t>
            </w:r>
          </w:p>
        </w:tc>
        <w:tc>
          <w:tcPr>
            <w:tcW w:type="dxa" w:w="1872"/>
          </w:tcPr>
          <w:p>
            <w:pPr>
              <w:spacing w:before="20" w:after="20"/>
            </w:pPr>
            <w:r>
              <w:rPr>
                <w:rFonts w:ascii="Times New Roman" w:hAnsi="Times New Roman"/>
              </w:rPr>
            </w:r>
            <w:r>
              <w:rPr>
                <w:rFonts w:ascii="Times New Roman" w:hAnsi="Times New Roman"/>
                <w:sz w:val="19"/>
              </w:rPr>
              <w:t>`temperature_C`</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CO₂ adsorption temperature (°C)</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15</w:t>
            </w:r>
          </w:p>
        </w:tc>
        <w:tc>
          <w:tcPr>
            <w:tcW w:type="dxa" w:w="1872"/>
          </w:tcPr>
          <w:p>
            <w:pPr>
              <w:spacing w:before="20" w:after="20"/>
            </w:pPr>
            <w:r>
              <w:rPr>
                <w:rFonts w:ascii="Times New Roman" w:hAnsi="Times New Roman"/>
              </w:rPr>
            </w:r>
            <w:r>
              <w:rPr>
                <w:rFonts w:ascii="Times New Roman" w:hAnsi="Times New Roman"/>
                <w:sz w:val="19"/>
              </w:rPr>
              <w:t>`pressure_bar`</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CO₂ adsorption pressure (bar)</w:t>
            </w:r>
          </w:p>
        </w:tc>
        <w:tc>
          <w:tcPr>
            <w:tcW w:type="dxa" w:w="1872"/>
          </w:tcPr>
          <w:p>
            <w:pPr>
              <w:spacing w:before="20" w:after="20"/>
            </w:pPr>
            <w:r>
              <w:rPr>
                <w:rFonts w:ascii="Times New Roman" w:hAnsi="Times New Roman"/>
              </w:rPr>
            </w:r>
            <w:r>
              <w:rPr>
                <w:rFonts w:ascii="Times New Roman" w:hAnsi="Times New Roman"/>
                <w:sz w:val="19"/>
              </w:rPr>
              <w:t>0</w:t>
            </w:r>
          </w:p>
        </w:tc>
      </w:tr>
      <w:tr>
        <w:tc>
          <w:tcPr>
            <w:tcW w:type="dxa" w:w="1872"/>
          </w:tcPr>
          <w:p>
            <w:pPr>
              <w:spacing w:before="20" w:after="20"/>
            </w:pPr>
            <w:r>
              <w:rPr>
                <w:rFonts w:ascii="Times New Roman" w:hAnsi="Times New Roman"/>
              </w:rPr>
            </w:r>
            <w:r>
              <w:rPr>
                <w:rFonts w:ascii="Times New Roman" w:hAnsi="Times New Roman"/>
                <w:sz w:val="19"/>
              </w:rPr>
              <w:t>Target</w:t>
            </w:r>
          </w:p>
        </w:tc>
        <w:tc>
          <w:tcPr>
            <w:tcW w:type="dxa" w:w="1872"/>
          </w:tcPr>
          <w:p>
            <w:pPr>
              <w:spacing w:before="20" w:after="20"/>
            </w:pPr>
            <w:r>
              <w:rPr>
                <w:rFonts w:ascii="Times New Roman" w:hAnsi="Times New Roman"/>
              </w:rPr>
            </w:r>
            <w:r>
              <w:rPr>
                <w:rFonts w:ascii="Times New Roman" w:hAnsi="Times New Roman"/>
                <w:sz w:val="19"/>
              </w:rPr>
              <w:t>`CO2_uptake_mg_g`</w:t>
            </w:r>
          </w:p>
        </w:tc>
        <w:tc>
          <w:tcPr>
            <w:tcW w:type="dxa" w:w="1872"/>
          </w:tcPr>
          <w:p>
            <w:pPr>
              <w:spacing w:before="20" w:after="20"/>
            </w:pPr>
            <w:r>
              <w:rPr>
                <w:rFonts w:ascii="Times New Roman" w:hAnsi="Times New Roman"/>
              </w:rPr>
            </w:r>
            <w:r>
              <w:rPr>
                <w:rFonts w:ascii="Times New Roman" w:hAnsi="Times New Roman"/>
                <w:sz w:val="19"/>
              </w:rPr>
              <w:t>Numeric</w:t>
            </w:r>
          </w:p>
        </w:tc>
        <w:tc>
          <w:tcPr>
            <w:tcW w:type="dxa" w:w="1872"/>
          </w:tcPr>
          <w:p>
            <w:pPr>
              <w:spacing w:before="20" w:after="20"/>
            </w:pPr>
            <w:r>
              <w:rPr>
                <w:rFonts w:ascii="Times New Roman" w:hAnsi="Times New Roman"/>
              </w:rPr>
            </w:r>
            <w:r>
              <w:rPr>
                <w:rFonts w:ascii="Times New Roman" w:hAnsi="Times New Roman"/>
                <w:sz w:val="19"/>
              </w:rPr>
              <w:t>CO₂ adsorption capacity (mg/g)</w:t>
            </w:r>
          </w:p>
        </w:tc>
        <w:tc>
          <w:tcPr>
            <w:tcW w:type="dxa" w:w="1872"/>
          </w:tcPr>
          <w:p>
            <w:pPr>
              <w:spacing w:before="20" w:after="20"/>
            </w:pPr>
            <w:r>
              <w:rPr>
                <w:rFonts w:ascii="Times New Roman" w:hAnsi="Times New Roman"/>
              </w:rPr>
            </w:r>
            <w:r>
              <w:rPr>
                <w:rFonts w:ascii="Times New Roman" w:hAnsi="Times New Roman"/>
                <w:sz w:val="19"/>
              </w:rPr>
              <w:t>0</w:t>
            </w:r>
          </w:p>
        </w:tc>
      </w:tr>
    </w:tbl>
    <w:p/>
    <w:p>
      <w:r>
        <w:rPr>
          <w:rFonts w:ascii="Times New Roman" w:hAnsi="Times New Roman"/>
          <w:b/>
          <w:i w:val="0"/>
          <w:sz w:val="24"/>
        </w:rPr>
        <w:t>Feature categorization.</w:t>
      </w:r>
      <w:r>
        <w:rPr>
          <w:rFonts w:ascii="Times New Roman" w:hAnsi="Times New Roman"/>
          <w:b w:val="0"/>
          <w:i w:val="0"/>
          <w:sz w:val="24"/>
        </w:rPr>
        <w:t xml:space="preserve"> Unlike conventional CO₂ adsorption datasets that rely heavily on ultimate and proximate analysis, the input features in this study were designed to capture the entire lifecycle of MgO-modified porous carbon composites — from raw precursor selection through multi-step synthesis and MgO incorporation to the final adsorption measurement. After feature engineering (detailed in Section 2.2.3), the 27 modeling features are organized into four conceptual categories that reflect this materials-by-design philosophy:</w:t>
      </w:r>
    </w:p>
    <w:p>
      <w:pPr>
        <w:pStyle w:val="ListBullet"/>
      </w:pPr>
      <w:r>
        <w:rPr>
          <w:rFonts w:ascii="Times New Roman" w:hAnsi="Times New Roman"/>
          <w:b/>
          <w:i w:val="0"/>
          <w:sz w:val="24"/>
        </w:rPr>
        <w:t>Synthesis process parameters</w:t>
      </w:r>
      <w:r>
        <w:rPr>
          <w:rFonts w:ascii="Times New Roman" w:hAnsi="Times New Roman"/>
          <w:b w:val="0"/>
          <w:i w:val="0"/>
          <w:sz w:val="24"/>
        </w:rPr>
        <w:t xml:space="preserve"> (14 features). The carbon precursor identity (</w:t>
      </w:r>
      <w:r>
        <w:rPr>
          <w:rFonts w:ascii="Consolas" w:hAnsi="Consolas"/>
          <w:b w:val="0"/>
          <w:i w:val="0"/>
          <w:sz w:val="21"/>
        </w:rPr>
        <w:t>carbon_precursors</w:t>
      </w:r>
      <w:r>
        <w:rPr>
          <w:rFonts w:ascii="Times New Roman" w:hAnsi="Times New Roman"/>
          <w:b w:val="0"/>
          <w:i w:val="0"/>
          <w:sz w:val="24"/>
        </w:rPr>
        <w:t>, 13 biomass types) and the full multi-step thermal treatment route — primary and secondary activation (`act1_</w:t>
      </w:r>
      <w:r>
        <w:rPr>
          <w:rFonts w:ascii="Consolas" w:hAnsi="Consolas"/>
          <w:b w:val="0"/>
          <w:i/>
          <w:sz w:val="21"/>
        </w:rPr>
        <w:t xml:space="preserve">, </w:t>
      </w:r>
      <w:r>
        <w:rPr>
          <w:rFonts w:ascii="Times New Roman" w:hAnsi="Times New Roman"/>
          <w:b w:val="0"/>
          <w:i/>
          <w:sz w:val="24"/>
        </w:rPr>
        <w:t>act2_</w:t>
      </w:r>
      <w:r>
        <w:rPr>
          <w:rFonts w:ascii="Consolas" w:hAnsi="Consolas"/>
          <w:b w:val="0"/>
          <w:i w:val="0"/>
          <w:sz w:val="21"/>
        </w:rPr>
        <w:t>), primary and secondary carbonization (</w:t>
      </w:r>
      <w:r>
        <w:rPr>
          <w:rFonts w:ascii="Times New Roman" w:hAnsi="Times New Roman"/>
          <w:b w:val="0"/>
          <w:i w:val="0"/>
          <w:sz w:val="24"/>
        </w:rPr>
        <w:t>carb1_</w:t>
      </w:r>
      <w:r>
        <w:rPr>
          <w:rFonts w:ascii="Consolas" w:hAnsi="Consolas"/>
          <w:b w:val="0"/>
          <w:i/>
          <w:sz w:val="21"/>
        </w:rPr>
        <w:t xml:space="preserve">, </w:t>
      </w:r>
      <w:r>
        <w:rPr>
          <w:rFonts w:ascii="Times New Roman" w:hAnsi="Times New Roman"/>
          <w:b w:val="0"/>
          <w:i/>
          <w:sz w:val="24"/>
        </w:rPr>
        <w:t>carb2_</w:t>
      </w:r>
      <w:r>
        <w:rPr>
          <w:rFonts w:ascii="Consolas" w:hAnsi="Consolas"/>
          <w:b w:val="0"/>
          <w:i w:val="0"/>
          <w:sz w:val="21"/>
        </w:rPr>
        <w:t xml:space="preserve">), and post-treatment — are jointly encoded. Each step is represented by both a categorical type variable (e.g., </w:t>
      </w:r>
      <w:r>
        <w:rPr>
          <w:rFonts w:ascii="Times New Roman" w:hAnsi="Times New Roman"/>
          <w:b w:val="0"/>
          <w:i w:val="0"/>
          <w:sz w:val="24"/>
        </w:rPr>
        <w:t>act1_type</w:t>
      </w:r>
      <w:r>
        <w:rPr>
          <w:rFonts w:ascii="Consolas" w:hAnsi="Consolas"/>
          <w:b w:val="0"/>
          <w:i w:val="0"/>
          <w:sz w:val="21"/>
        </w:rPr>
        <w:t xml:space="preserve">: steam, KOH, hydrothermal, or none; </w:t>
      </w:r>
      <w:r>
        <w:rPr>
          <w:rFonts w:ascii="Times New Roman" w:hAnsi="Times New Roman"/>
          <w:b w:val="0"/>
          <w:i w:val="0"/>
          <w:sz w:val="24"/>
        </w:rPr>
        <w:t>carb1_type</w:t>
      </w:r>
      <w:r>
        <w:rPr>
          <w:rFonts w:ascii="Consolas" w:hAnsi="Consolas"/>
          <w:b w:val="0"/>
          <w:i w:val="0"/>
          <w:sz w:val="21"/>
        </w:rPr>
        <w:t xml:space="preserve">: conventional, microwave, fast pyrolysis, or none) and numerically extracted temperature–duration pairs (e.g., </w:t>
      </w:r>
      <w:r>
        <w:rPr>
          <w:rFonts w:ascii="Times New Roman" w:hAnsi="Times New Roman"/>
          <w:b w:val="0"/>
          <w:i w:val="0"/>
          <w:sz w:val="24"/>
        </w:rPr>
        <w:t>act1_temp_C</w:t>
      </w:r>
      <w:r>
        <w:rPr>
          <w:rFonts w:ascii="Consolas" w:hAnsi="Consolas"/>
          <w:b w:val="0"/>
          <w:i w:val="0"/>
          <w:sz w:val="21"/>
        </w:rPr>
        <w:t xml:space="preserve">, </w:t>
      </w:r>
      <w:r>
        <w:rPr>
          <w:rFonts w:ascii="Times New Roman" w:hAnsi="Times New Roman"/>
          <w:b w:val="0"/>
          <w:i w:val="0"/>
          <w:sz w:val="24"/>
        </w:rPr>
        <w:t>carb1_duration_h`). Together, these features define the thermal and chemical history of the carbon skeleton and its pore-forming process.</w:t>
      </w:r>
    </w:p>
    <w:p>
      <w:pPr>
        <w:pStyle w:val="ListBullet"/>
      </w:pPr>
      <w:r>
        <w:rPr>
          <w:rFonts w:ascii="Times New Roman" w:hAnsi="Times New Roman"/>
          <w:b/>
          <w:i w:val="0"/>
          <w:sz w:val="24"/>
        </w:rPr>
        <w:t>MgO modification parameters</w:t>
      </w:r>
      <w:r>
        <w:rPr>
          <w:rFonts w:ascii="Times New Roman" w:hAnsi="Times New Roman"/>
          <w:b w:val="0"/>
          <w:i w:val="0"/>
          <w:sz w:val="24"/>
        </w:rPr>
        <w:t xml:space="preserve"> (4 features). As the defining functional component of the composite, MgO-related variables are treated as a standalone category. This includes the chemical identity of the MgO precursor (</w:t>
      </w:r>
      <w:r>
        <w:rPr>
          <w:rFonts w:ascii="Consolas" w:hAnsi="Consolas"/>
          <w:b w:val="0"/>
          <w:i w:val="0"/>
          <w:sz w:val="21"/>
        </w:rPr>
        <w:t>MgO_precursors</w:t>
      </w:r>
      <w:r>
        <w:rPr>
          <w:rFonts w:ascii="Times New Roman" w:hAnsi="Times New Roman"/>
          <w:b w:val="0"/>
          <w:i w:val="0"/>
          <w:sz w:val="24"/>
        </w:rPr>
        <w:t>, 6 compounds such as Mg(NO₃)₂·6H₂O, Mg(CH₃COO)₂·4H₂O, and MgCl₂·6H₂O), the method of Mg incorporation into the carbon matrix (</w:t>
      </w:r>
      <w:r>
        <w:rPr>
          <w:rFonts w:ascii="Consolas" w:hAnsi="Consolas"/>
          <w:b w:val="0"/>
          <w:i w:val="0"/>
          <w:sz w:val="21"/>
        </w:rPr>
        <w:t>Mg_loading_method</w:t>
      </w:r>
      <w:r>
        <w:rPr>
          <w:rFonts w:ascii="Times New Roman" w:hAnsi="Times New Roman"/>
          <w:b w:val="0"/>
          <w:i w:val="0"/>
          <w:sz w:val="24"/>
        </w:rPr>
        <w:t xml:space="preserve">: impregnation, ball milling, or hydrothermal co-precipitation), and two quantitative descriptors — </w:t>
      </w:r>
      <w:r>
        <w:rPr>
          <w:rFonts w:ascii="Consolas" w:hAnsi="Consolas"/>
          <w:b w:val="0"/>
          <w:i w:val="0"/>
          <w:sz w:val="21"/>
        </w:rPr>
        <w:t>MgO_mass_ratio</w:t>
      </w:r>
      <w:r>
        <w:rPr>
          <w:rFonts w:ascii="Times New Roman" w:hAnsi="Times New Roman"/>
          <w:b w:val="0"/>
          <w:i w:val="0"/>
          <w:sz w:val="24"/>
        </w:rPr>
        <w:t xml:space="preserve"> (the MgO loading fraction) and </w:t>
      </w:r>
      <w:r>
        <w:rPr>
          <w:rFonts w:ascii="Consolas" w:hAnsi="Consolas"/>
          <w:b w:val="0"/>
          <w:i w:val="0"/>
          <w:sz w:val="21"/>
        </w:rPr>
        <w:t>MgO_surface_density</w:t>
      </w:r>
      <w:r>
        <w:rPr>
          <w:rFonts w:ascii="Times New Roman" w:hAnsi="Times New Roman"/>
          <w:b w:val="0"/>
          <w:i w:val="0"/>
          <w:sz w:val="24"/>
        </w:rPr>
        <w:t xml:space="preserve"> (MgO loading normalized by available BET surface area, reflecting active-site dispersion). These features capture the compositional and structural role of MgO in determining CO₂ affinity.</w:t>
      </w:r>
    </w:p>
    <w:p>
      <w:pPr>
        <w:pStyle w:val="ListBullet"/>
      </w:pPr>
      <w:r>
        <w:rPr>
          <w:rFonts w:ascii="Times New Roman" w:hAnsi="Times New Roman"/>
          <w:b/>
          <w:i w:val="0"/>
          <w:sz w:val="24"/>
        </w:rPr>
        <w:t>Textural properties</w:t>
      </w:r>
      <w:r>
        <w:rPr>
          <w:rFonts w:ascii="Times New Roman" w:hAnsi="Times New Roman"/>
          <w:b w:val="0"/>
          <w:i w:val="0"/>
          <w:sz w:val="24"/>
        </w:rPr>
        <w:t xml:space="preserve"> (5 features). The pore architecture of the resulting composite is described by </w:t>
      </w:r>
      <w:r>
        <w:rPr>
          <w:rFonts w:ascii="Consolas" w:hAnsi="Consolas"/>
          <w:b w:val="0"/>
          <w:i w:val="0"/>
          <w:sz w:val="21"/>
        </w:rPr>
        <w:t>SBET_m2_g</w:t>
      </w:r>
      <w:r>
        <w:rPr>
          <w:rFonts w:ascii="Times New Roman" w:hAnsi="Times New Roman"/>
          <w:b w:val="0"/>
          <w:i w:val="0"/>
          <w:sz w:val="24"/>
        </w:rPr>
        <w:t xml:space="preserve"> (BET specific surface area), </w:t>
      </w:r>
      <w:r>
        <w:rPr>
          <w:rFonts w:ascii="Consolas" w:hAnsi="Consolas"/>
          <w:b w:val="0"/>
          <w:i w:val="0"/>
          <w:sz w:val="21"/>
        </w:rPr>
        <w:t>Vtotal_cm3_g</w:t>
      </w:r>
      <w:r>
        <w:rPr>
          <w:rFonts w:ascii="Times New Roman" w:hAnsi="Times New Roman"/>
          <w:b w:val="0"/>
          <w:i w:val="0"/>
          <w:sz w:val="24"/>
        </w:rPr>
        <w:t xml:space="preserve"> (total pore volume), </w:t>
      </w:r>
      <w:r>
        <w:rPr>
          <w:rFonts w:ascii="Consolas" w:hAnsi="Consolas"/>
          <w:b w:val="0"/>
          <w:i w:val="0"/>
          <w:sz w:val="21"/>
        </w:rPr>
        <w:t>Vmicro_cm3_g</w:t>
      </w:r>
      <w:r>
        <w:rPr>
          <w:rFonts w:ascii="Times New Roman" w:hAnsi="Times New Roman"/>
          <w:b w:val="0"/>
          <w:i w:val="0"/>
          <w:sz w:val="24"/>
        </w:rPr>
        <w:t xml:space="preserve"> (micropore volume), </w:t>
      </w:r>
      <w:r>
        <w:rPr>
          <w:rFonts w:ascii="Consolas" w:hAnsi="Consolas"/>
          <w:b w:val="0"/>
          <w:i w:val="0"/>
          <w:sz w:val="21"/>
        </w:rPr>
        <w:t>Vmeso_cm3_g</w:t>
      </w:r>
      <w:r>
        <w:rPr>
          <w:rFonts w:ascii="Times New Roman" w:hAnsi="Times New Roman"/>
          <w:b w:val="0"/>
          <w:i w:val="0"/>
          <w:sz w:val="24"/>
        </w:rPr>
        <w:t xml:space="preserve"> (mesopore volume, computed as Vtotal − Vmicro), and </w:t>
      </w:r>
      <w:r>
        <w:rPr>
          <w:rFonts w:ascii="Consolas" w:hAnsi="Consolas"/>
          <w:b w:val="0"/>
          <w:i w:val="0"/>
          <w:sz w:val="21"/>
        </w:rPr>
        <w:t>microporosity</w:t>
      </w:r>
      <w:r>
        <w:rPr>
          <w:rFonts w:ascii="Times New Roman" w:hAnsi="Times New Roman"/>
          <w:b w:val="0"/>
          <w:i w:val="0"/>
          <w:sz w:val="24"/>
        </w:rPr>
        <w:t xml:space="preserve"> (the Vmicro/Vtotal ratio). These variables are the physical outcome of the synthesis process and the proximate determinants of CO₂ physisorption capacity.</w:t>
      </w:r>
    </w:p>
    <w:p>
      <w:pPr>
        <w:pStyle w:val="ListBullet"/>
      </w:pPr>
      <w:r>
        <w:rPr>
          <w:rFonts w:ascii="Times New Roman" w:hAnsi="Times New Roman"/>
          <w:b/>
          <w:i w:val="0"/>
          <w:sz w:val="24"/>
        </w:rPr>
        <w:t>Adsorption operating conditions</w:t>
      </w:r>
      <w:r>
        <w:rPr>
          <w:rFonts w:ascii="Times New Roman" w:hAnsi="Times New Roman"/>
          <w:b w:val="0"/>
          <w:i w:val="0"/>
          <w:sz w:val="24"/>
        </w:rPr>
        <w:t xml:space="preserve"> (4 features). The thermodynamic environment of the CO₂ uptake measurement is characterized by </w:t>
      </w:r>
      <w:r>
        <w:rPr>
          <w:rFonts w:ascii="Consolas" w:hAnsi="Consolas"/>
          <w:b w:val="0"/>
          <w:i w:val="0"/>
          <w:sz w:val="21"/>
        </w:rPr>
        <w:t>temperature_C</w:t>
      </w:r>
      <w:r>
        <w:rPr>
          <w:rFonts w:ascii="Times New Roman" w:hAnsi="Times New Roman"/>
          <w:b w:val="0"/>
          <w:i w:val="0"/>
          <w:sz w:val="24"/>
        </w:rPr>
        <w:t xml:space="preserve"> and </w:t>
      </w:r>
      <w:r>
        <w:rPr>
          <w:rFonts w:ascii="Consolas" w:hAnsi="Consolas"/>
          <w:b w:val="0"/>
          <w:i w:val="0"/>
          <w:sz w:val="21"/>
        </w:rPr>
        <w:t>pressure_bar</w:t>
      </w:r>
      <w:r>
        <w:rPr>
          <w:rFonts w:ascii="Times New Roman" w:hAnsi="Times New Roman"/>
          <w:b w:val="0"/>
          <w:i w:val="0"/>
          <w:sz w:val="24"/>
        </w:rPr>
        <w:t xml:space="preserve">, supplemented by two derived features: </w:t>
      </w:r>
      <w:r>
        <w:rPr>
          <w:rFonts w:ascii="Consolas" w:hAnsi="Consolas"/>
          <w:b w:val="0"/>
          <w:i w:val="0"/>
          <w:sz w:val="21"/>
        </w:rPr>
        <w:t>inv_T_K</w:t>
      </w:r>
      <w:r>
        <w:rPr>
          <w:rFonts w:ascii="Times New Roman" w:hAnsi="Times New Roman"/>
          <w:b w:val="0"/>
          <w:i w:val="0"/>
          <w:sz w:val="24"/>
        </w:rPr>
        <w:t xml:space="preserve"> (1 / (T + 273.15), consistent with the Arrhenius formalism) and </w:t>
      </w:r>
      <w:r>
        <w:rPr>
          <w:rFonts w:ascii="Consolas" w:hAnsi="Consolas"/>
          <w:b w:val="0"/>
          <w:i w:val="0"/>
          <w:sz w:val="21"/>
        </w:rPr>
        <w:t>T_lnP</w:t>
      </w:r>
      <w:r>
        <w:rPr>
          <w:rFonts w:ascii="Times New Roman" w:hAnsi="Times New Roman"/>
          <w:b w:val="0"/>
          <w:i w:val="0"/>
          <w:sz w:val="24"/>
        </w:rPr>
        <w:t xml:space="preserve"> (T × ln(P + 0.01), a coupled thermodynamic driving-force term).</w:t>
      </w:r>
    </w:p>
    <w:p>
      <w:r>
        <w:rPr>
          <w:rFonts w:ascii="Times New Roman" w:hAnsi="Times New Roman"/>
          <w:b/>
          <w:i w:val="0"/>
          <w:sz w:val="24"/>
        </w:rPr>
        <w:t>Exploratory data analysis (EDA).</w:t>
      </w:r>
      <w:r>
        <w:rPr>
          <w:rFonts w:ascii="Times New Roman" w:hAnsi="Times New Roman"/>
          <w:b w:val="0"/>
          <w:i w:val="0"/>
          <w:sz w:val="24"/>
        </w:rPr>
        <w:t xml:space="preserve"> An exploratory data analysis was performed on the compiled dataset to characterize its initial distribution and to establish a foundation for subsequent preprocessing. The results of this EDA, including box plots for all numerical variables grouped by domain, are presented in </w:t>
      </w:r>
      <w:r>
        <w:rPr>
          <w:rFonts w:ascii="Times New Roman" w:hAnsi="Times New Roman"/>
          <w:b/>
          <w:i w:val="0"/>
          <w:sz w:val="24"/>
        </w:rPr>
        <w:t>Figure 2</w:t>
      </w:r>
      <w:r>
        <w:rPr>
          <w:rFonts w:ascii="Times New Roman" w:hAnsi="Times New Roman"/>
          <w:b w:val="0"/>
          <w:i w:val="0"/>
          <w:sz w:val="24"/>
        </w:rPr>
        <w:t>.</w:t>
      </w:r>
    </w:p>
    <w:p>
      <w:r>
        <w:rPr>
          <w:rFonts w:ascii="Times New Roman" w:hAnsi="Times New Roman"/>
          <w:b w:val="0"/>
          <w:i w:val="0"/>
          <w:sz w:val="24"/>
        </w:rPr>
        <w:t xml:space="preserve">In terms of </w:t>
      </w:r>
      <w:r>
        <w:rPr>
          <w:rFonts w:ascii="Times New Roman" w:hAnsi="Times New Roman"/>
          <w:b/>
          <w:i w:val="0"/>
          <w:sz w:val="24"/>
        </w:rPr>
        <w:t>textural properties</w:t>
      </w:r>
      <w:r>
        <w:rPr>
          <w:rFonts w:ascii="Times New Roman" w:hAnsi="Times New Roman"/>
          <w:b w:val="0"/>
          <w:i w:val="0"/>
          <w:sz w:val="24"/>
        </w:rPr>
        <w:t>, the BET specific surface area (SBET) exhibited a median value of 729 m²/g, with an interquartile range (IQR) of 306 to 793 m²/g. While most adsorbents possessed moderate to high surface areas, a subset of materials with limited porosity showed SBET values as low as 10 m²/g, whereas highly activated samples reached maxima near 1623 m²/g. The total pore volume (Vtotal) distribution showed a median of 0.44 cm³/g, with the central 50% of observations falling between 0.28 and 0.55 cm³/g; the maximum observed Vtotal approached 1.43 cm³/g. The pore structure was predominantly microporous, as reflected by a median microporosity (Vmicro/Vtotal) of 0.69 (IQR: 0.54–0.75), indicating that micropores accounted for more than two-thirds of the total pore volume in the majority of samples. The micropore volume (Vmicro) had a median of 0.28 cm³/g (IQR: 0.16–0.29 cm³/g), while the mesopore volume (Vmeso = Vtotal − Vmicro) was substantially lower, with a median of 0.17 cm³/g (IQR: 0.08–0.21 cm³/g). A small number of samples (n = 3) exhibited unusually high Vmeso values exceeding the upper outlier threshold of 0.39 cm³/g (1.5 × IQR), corresponding to materials with a more developed mesoporous network.</w:t>
      </w:r>
    </w:p>
    <w:p>
      <w:r>
        <w:rPr>
          <w:rFonts w:ascii="Times New Roman" w:hAnsi="Times New Roman"/>
          <w:b w:val="0"/>
          <w:i w:val="0"/>
          <w:sz w:val="24"/>
        </w:rPr>
        <w:t xml:space="preserve">Regarding </w:t>
      </w:r>
      <w:r>
        <w:rPr>
          <w:rFonts w:ascii="Times New Roman" w:hAnsi="Times New Roman"/>
          <w:b/>
          <w:i w:val="0"/>
          <w:sz w:val="24"/>
        </w:rPr>
        <w:t>MgO modification parameters</w:t>
      </w:r>
      <w:r>
        <w:rPr>
          <w:rFonts w:ascii="Times New Roman" w:hAnsi="Times New Roman"/>
          <w:b w:val="0"/>
          <w:i w:val="0"/>
          <w:sz w:val="24"/>
        </w:rPr>
        <w:t>, the MgO mass ratio in the composite displayed a median of 0.25 (IQR: 0.20–0.51), with values spanning the full compositional range from 0 (pure carbon) to 0.99 (nearly pure MgO). The MgO surface density — defined as the MgO loading normalized by the available BET surface area — showed a median of 1.20 (IQR: 0.14–1.25), although several samples with very low surface areas produced extreme values up to 33.9, indicating highly aggregated MgO with poor active-site dispersion. This wide compositional and dispersion range underscores the diversity of MgO incorporation strategies employed across the surveyed literature.</w:t>
      </w:r>
    </w:p>
    <w:p>
      <w:r>
        <w:rPr>
          <w:rFonts w:ascii="Times New Roman" w:hAnsi="Times New Roman"/>
          <w:b w:val="0"/>
          <w:i w:val="0"/>
          <w:sz w:val="24"/>
        </w:rPr>
        <w:t xml:space="preserve">With respect to </w:t>
      </w:r>
      <w:r>
        <w:rPr>
          <w:rFonts w:ascii="Times New Roman" w:hAnsi="Times New Roman"/>
          <w:b/>
          <w:i w:val="0"/>
          <w:sz w:val="24"/>
        </w:rPr>
        <w:t>adsorption operating conditions</w:t>
      </w:r>
      <w:r>
        <w:rPr>
          <w:rFonts w:ascii="Times New Roman" w:hAnsi="Times New Roman"/>
          <w:b w:val="0"/>
          <w:i w:val="0"/>
          <w:sz w:val="24"/>
        </w:rPr>
        <w:t>, the median adsorption temperature was 25 °C, with the central 50% of observations concentrated in a narrow window of 25 to 50 °C. This reflects the predominance of near-ambient adsorption measurements in the compiled literature. However, a subset of 39 experiments extended up to 289 °C, corresponding to studies conducted under elevated-temperature conditions relevant to post-combustion flue gas scenarios. The adsorption pressure had a median of 0.99 bar, with an IQR of 0.48 to 1.00 bar, confirming that the majority of measurements were performed at or near atmospheric pressure. A limited number of high-pressure experiments (n = 49 beyond the 1.5 × IQR threshold of 1.78 bar) reached a maximum of 15.0 bar, extending the dataset's applicability to pressurized adsorption processes.</w:t>
      </w:r>
    </w:p>
    <w:p>
      <w:r>
        <w:rPr>
          <w:rFonts w:ascii="Times New Roman" w:hAnsi="Times New Roman"/>
          <w:b w:val="0"/>
          <w:i w:val="0"/>
          <w:sz w:val="24"/>
        </w:rPr>
        <w:t xml:space="preserve">The target variable, </w:t>
      </w:r>
      <w:r>
        <w:rPr>
          <w:rFonts w:ascii="Times New Roman" w:hAnsi="Times New Roman"/>
          <w:b/>
          <w:i w:val="0"/>
          <w:sz w:val="24"/>
        </w:rPr>
        <w:t>CO₂ uptake capacity</w:t>
      </w:r>
      <w:r>
        <w:rPr>
          <w:rFonts w:ascii="Times New Roman" w:hAnsi="Times New Roman"/>
          <w:b w:val="0"/>
          <w:i w:val="0"/>
          <w:sz w:val="24"/>
        </w:rPr>
        <w:t>, had a median of 86.3 mg/g, with the central 50% of observations falling between 51.9 and 136.6 mg/g. The distribution was right-skewed (mean = 99.6 mg/g, SD = 62.4 mg/g, CV = 62.7%): while most unmodified or weakly modified carbons clustered in the lower range, several heavily MgO-loaded or KOH-activated samples achieved uptakes as high as 292.7 mg/g. Seven observations exceeded the upper outlier threshold of 264 mg/g (1.5 × IQR), representing exceptional high-performance materials.</w:t>
      </w:r>
    </w:p>
    <w:p>
      <w:r>
        <w:rPr>
          <w:rFonts w:ascii="Times New Roman" w:hAnsi="Times New Roman"/>
          <w:b w:val="0"/>
          <w:i w:val="0"/>
          <w:sz w:val="24"/>
        </w:rPr>
        <w:t>The EDA confirmed that the dataset encompasses a wide diversity of carbon precursors, MgO incorporation strategies, pore architectures, and experimental conditions — ranging from sub-ambient to elevated temperatures and from vacuum to pressurized environments. This heterogeneity establishes a solid foundation for developing robust machine learning models capable of generalizing across the MgO-modified porous carbon materials space.</w:t>
      </w:r>
    </w:p>
    <w:p>
      <w:r>
        <w:rPr>
          <w:rFonts w:ascii="Times New Roman" w:hAnsi="Times New Roman"/>
          <w:b/>
          <w:i w:val="0"/>
          <w:sz w:val="24"/>
        </w:rPr>
        <w:t>Carbon precursor diversity.</w:t>
      </w:r>
      <w:r>
        <w:rPr>
          <w:rFonts w:ascii="Times New Roman" w:hAnsi="Times New Roman"/>
          <w:b w:val="0"/>
          <w:i w:val="0"/>
          <w:sz w:val="24"/>
        </w:rPr>
        <w:t xml:space="preserve"> The 341 observations span </w:t>
      </w:r>
      <w:r>
        <w:rPr>
          <w:rFonts w:ascii="Times New Roman" w:hAnsi="Times New Roman"/>
          <w:b/>
          <w:i w:val="0"/>
          <w:sz w:val="24"/>
        </w:rPr>
        <w:t>13 distinct carbon precursor materials</w:t>
      </w:r>
      <w:r>
        <w:rPr>
          <w:rFonts w:ascii="Times New Roman" w:hAnsi="Times New Roman"/>
          <w:b w:val="0"/>
          <w:i w:val="0"/>
          <w:sz w:val="24"/>
        </w:rPr>
        <w:t xml:space="preserve">, including agricultural residues (rice husk, sugarcane bagasse, wheat straw), woody biomass (sawdust, cottonwood, whitewood), fruit-processing wastes (rambutan peel, coffee grounds, walnut shell, palm kernel shells, palm empty fruit bunch), and pollen grains. This diversity is by design: it ensures the machine learning models learn to generalize across biomass types rather than memorizing precursor-specific patterns. </w:t>
      </w:r>
      <w:r>
        <w:rPr>
          <w:rFonts w:ascii="Times New Roman" w:hAnsi="Times New Roman"/>
          <w:b/>
          <w:i w:val="0"/>
          <w:sz w:val="24"/>
        </w:rPr>
        <w:t>Figure S1</w:t>
      </w:r>
      <w:r>
        <w:rPr>
          <w:rFonts w:ascii="Times New Roman" w:hAnsi="Times New Roman"/>
          <w:b w:val="0"/>
          <w:i w:val="0"/>
          <w:sz w:val="24"/>
        </w:rPr>
        <w:t xml:space="preserve"> visualizes the CO₂ uptake distribution stratified by carbon precursor type, revealing substantial within-precursor variance that motivates the incorporation of synthesis and textural descriptors as predictive features. Common feedstocks such as sawdust and rice husk dominate the dataset, while several rare precursors are represented by fewer than 10 observations (grouped as "Other" in </w:t>
      </w:r>
      <w:r>
        <w:rPr>
          <w:rFonts w:ascii="Times New Roman" w:hAnsi="Times New Roman"/>
          <w:b/>
          <w:i w:val="0"/>
          <w:sz w:val="24"/>
        </w:rPr>
        <w:t>Figure S1</w:t>
      </w:r>
      <w:r>
        <w:rPr>
          <w:rFonts w:ascii="Times New Roman" w:hAnsi="Times New Roman"/>
          <w:b w:val="0"/>
          <w:i w:val="0"/>
          <w:sz w:val="24"/>
        </w:rPr>
        <w:t>).</w:t>
      </w:r>
    </w:p>
    <w:p>
      <w:r>
        <w:rPr>
          <w:rFonts w:ascii="Times New Roman" w:hAnsi="Times New Roman"/>
          <w:b/>
          <w:i w:val="0"/>
          <w:sz w:val="24"/>
        </w:rPr>
        <w:t>Inter-feature correlation structure.</w:t>
      </w:r>
      <w:r>
        <w:rPr>
          <w:rFonts w:ascii="Times New Roman" w:hAnsi="Times New Roman"/>
          <w:b w:val="0"/>
          <w:i w:val="0"/>
          <w:sz w:val="24"/>
        </w:rPr>
        <w:t xml:space="preserve"> The pairwise Spearman rank correlation matrix of 17 non-degenerate numerical features (after exclusion of zero-variance columns) is presented in </w:t>
      </w:r>
      <w:r>
        <w:rPr>
          <w:rFonts w:ascii="Times New Roman" w:hAnsi="Times New Roman"/>
          <w:b/>
          <w:i w:val="0"/>
          <w:sz w:val="24"/>
        </w:rPr>
        <w:t>Figure 1</w:t>
      </w:r>
      <w:r>
        <w:rPr>
          <w:rFonts w:ascii="Times New Roman" w:hAnsi="Times New Roman"/>
          <w:b w:val="0"/>
          <w:i w:val="0"/>
          <w:sz w:val="24"/>
        </w:rPr>
        <w:t>. Features are ordered by Ward hierarchical clustering on the 1 − |ρ| distance metric. Three broad correlation clusters emerge: (i) a pore-structure block (</w:t>
      </w:r>
      <w:r>
        <w:rPr>
          <w:rFonts w:ascii="Consolas" w:hAnsi="Consolas"/>
          <w:b w:val="0"/>
          <w:i w:val="0"/>
          <w:sz w:val="21"/>
        </w:rPr>
        <w:t>SBET_m2_g</w:t>
      </w:r>
      <w:r>
        <w:rPr>
          <w:rFonts w:ascii="Times New Roman" w:hAnsi="Times New Roman"/>
          <w:b w:val="0"/>
          <w:i w:val="0"/>
          <w:sz w:val="24"/>
        </w:rPr>
        <w:t xml:space="preserve">, </w:t>
      </w:r>
      <w:r>
        <w:rPr>
          <w:rFonts w:ascii="Consolas" w:hAnsi="Consolas"/>
          <w:b w:val="0"/>
          <w:i w:val="0"/>
          <w:sz w:val="21"/>
        </w:rPr>
        <w:t>Vtotal_cm3_g</w:t>
      </w:r>
      <w:r>
        <w:rPr>
          <w:rFonts w:ascii="Times New Roman" w:hAnsi="Times New Roman"/>
          <w:b w:val="0"/>
          <w:i w:val="0"/>
          <w:sz w:val="24"/>
        </w:rPr>
        <w:t xml:space="preserve">, </w:t>
      </w:r>
      <w:r>
        <w:rPr>
          <w:rFonts w:ascii="Consolas" w:hAnsi="Consolas"/>
          <w:b w:val="0"/>
          <w:i w:val="0"/>
          <w:sz w:val="21"/>
        </w:rPr>
        <w:t>Vmicro_cm3_g</w:t>
      </w:r>
      <w:r>
        <w:rPr>
          <w:rFonts w:ascii="Times New Roman" w:hAnsi="Times New Roman"/>
          <w:b w:val="0"/>
          <w:i w:val="0"/>
          <w:sz w:val="24"/>
        </w:rPr>
        <w:t xml:space="preserve">, </w:t>
      </w:r>
      <w:r>
        <w:rPr>
          <w:rFonts w:ascii="Consolas" w:hAnsi="Consolas"/>
          <w:b w:val="0"/>
          <w:i w:val="0"/>
          <w:sz w:val="21"/>
        </w:rPr>
        <w:t>Vmeso_cm3_g</w:t>
      </w:r>
      <w:r>
        <w:rPr>
          <w:rFonts w:ascii="Times New Roman" w:hAnsi="Times New Roman"/>
          <w:b w:val="0"/>
          <w:i w:val="0"/>
          <w:sz w:val="24"/>
        </w:rPr>
        <w:t>) with strong positive inter-correlations (ρ &gt; 0.7), (ii) a temperature–thermodynamic block (</w:t>
      </w:r>
      <w:r>
        <w:rPr>
          <w:rFonts w:ascii="Consolas" w:hAnsi="Consolas"/>
          <w:b w:val="0"/>
          <w:i w:val="0"/>
          <w:sz w:val="21"/>
        </w:rPr>
        <w:t>temperature_C</w:t>
      </w:r>
      <w:r>
        <w:rPr>
          <w:rFonts w:ascii="Times New Roman" w:hAnsi="Times New Roman"/>
          <w:b w:val="0"/>
          <w:i w:val="0"/>
          <w:sz w:val="24"/>
        </w:rPr>
        <w:t xml:space="preserve">, </w:t>
      </w:r>
      <w:r>
        <w:rPr>
          <w:rFonts w:ascii="Consolas" w:hAnsi="Consolas"/>
          <w:b w:val="0"/>
          <w:i w:val="0"/>
          <w:sz w:val="21"/>
        </w:rPr>
        <w:t>inv_T_K</w:t>
      </w:r>
      <w:r>
        <w:rPr>
          <w:rFonts w:ascii="Times New Roman" w:hAnsi="Times New Roman"/>
          <w:b w:val="0"/>
          <w:i w:val="0"/>
          <w:sz w:val="24"/>
        </w:rPr>
        <w:t xml:space="preserve">, </w:t>
      </w:r>
      <w:r>
        <w:rPr>
          <w:rFonts w:ascii="Consolas" w:hAnsi="Consolas"/>
          <w:b w:val="0"/>
          <w:i w:val="0"/>
          <w:sz w:val="21"/>
        </w:rPr>
        <w:t>T_lnP</w:t>
      </w:r>
      <w:r>
        <w:rPr>
          <w:rFonts w:ascii="Times New Roman" w:hAnsi="Times New Roman"/>
          <w:b w:val="0"/>
          <w:i w:val="0"/>
          <w:sz w:val="24"/>
        </w:rPr>
        <w:t xml:space="preserve">, </w:t>
      </w:r>
      <w:r>
        <w:rPr>
          <w:rFonts w:ascii="Consolas" w:hAnsi="Consolas"/>
          <w:b w:val="0"/>
          <w:i w:val="0"/>
          <w:sz w:val="21"/>
        </w:rPr>
        <w:t>pressure_bar</w:t>
      </w:r>
      <w:r>
        <w:rPr>
          <w:rFonts w:ascii="Times New Roman" w:hAnsi="Times New Roman"/>
          <w:b w:val="0"/>
          <w:i w:val="0"/>
          <w:sz w:val="24"/>
        </w:rPr>
        <w:t>), and (iii) an MgO-loading block (</w:t>
      </w:r>
      <w:r>
        <w:rPr>
          <w:rFonts w:ascii="Consolas" w:hAnsi="Consolas"/>
          <w:b w:val="0"/>
          <w:i w:val="0"/>
          <w:sz w:val="21"/>
        </w:rPr>
        <w:t>MgO_mass_ratio</w:t>
      </w:r>
      <w:r>
        <w:rPr>
          <w:rFonts w:ascii="Times New Roman" w:hAnsi="Times New Roman"/>
          <w:b w:val="0"/>
          <w:i w:val="0"/>
          <w:sz w:val="24"/>
        </w:rPr>
        <w:t xml:space="preserve">, </w:t>
      </w:r>
      <w:r>
        <w:rPr>
          <w:rFonts w:ascii="Consolas" w:hAnsi="Consolas"/>
          <w:b w:val="0"/>
          <w:i w:val="0"/>
          <w:sz w:val="21"/>
        </w:rPr>
        <w:t>MgO_surface_density</w:t>
      </w:r>
      <w:r>
        <w:rPr>
          <w:rFonts w:ascii="Times New Roman" w:hAnsi="Times New Roman"/>
          <w:b w:val="0"/>
          <w:i w:val="0"/>
          <w:sz w:val="24"/>
        </w:rPr>
        <w:t>). The cross-block correlations are generally weak to moderate (|ρ| &lt; 0.4), suggesting that textural, thermodynamic, and compositional information carry complementary predictive signals — a favorable property for multi-feature machine learning models.</w:t>
      </w:r>
    </w:p>
    <w:p>
      <w:r>
        <w:rPr>
          <w:rFonts w:ascii="Times New Roman" w:hAnsi="Times New Roman"/>
          <w:b/>
          <w:i w:val="0"/>
          <w:sz w:val="24"/>
        </w:rPr>
        <w:t>EDA boxplot visualization.</w:t>
      </w:r>
      <w:r>
        <w:rPr>
          <w:rFonts w:ascii="Times New Roman" w:hAnsi="Times New Roman"/>
          <w:b w:val="0"/>
          <w:i w:val="0"/>
          <w:sz w:val="24"/>
        </w:rPr>
        <w:t xml:space="preserve"> </w:t>
      </w:r>
      <w:r>
        <w:rPr>
          <w:rFonts w:ascii="Times New Roman" w:hAnsi="Times New Roman"/>
          <w:b/>
          <w:i w:val="0"/>
          <w:sz w:val="24"/>
        </w:rPr>
        <w:t>Figure 2</w:t>
      </w:r>
      <w:r>
        <w:rPr>
          <w:rFonts w:ascii="Times New Roman" w:hAnsi="Times New Roman"/>
          <w:b w:val="0"/>
          <w:i w:val="0"/>
          <w:sz w:val="24"/>
        </w:rPr>
        <w:t xml:space="preserve"> presents Z-score standardized boxplots of all 19 numerical features, grouped into five domains: pore structure, MgO loading, operating conditions, activation parameters, and carbonization parameters. In addition to the distributional characteristics described above, the boxplots reveal that process-parameter features (`act2_</w:t>
      </w:r>
      <w:r>
        <w:rPr>
          <w:rFonts w:ascii="Consolas" w:hAnsi="Consolas"/>
          <w:b w:val="0"/>
          <w:i/>
          <w:sz w:val="21"/>
        </w:rPr>
        <w:t xml:space="preserve">, </w:t>
      </w:r>
      <w:r>
        <w:rPr>
          <w:rFonts w:ascii="Times New Roman" w:hAnsi="Times New Roman"/>
          <w:b w:val="0"/>
          <w:i/>
          <w:sz w:val="24"/>
        </w:rPr>
        <w:t>carb2_</w:t>
      </w:r>
      <w:r>
        <w:rPr>
          <w:rFonts w:ascii="Times New Roman" w:hAnsi="Times New Roman"/>
          <w:b w:val="0"/>
          <w:i w:val="0"/>
          <w:sz w:val="24"/>
        </w:rPr>
        <w:t>`) are heavily zero-inflated due to the prevalence of single-step synthesis routes — secondary activation or carbonization steps are not performed for the majority of observations and their corresponding temperature/duration values are undefined.</w:t>
      </w:r>
    </w:p>
    <w:p>
      <w:r>
        <w:rPr>
          <w:rFonts w:ascii="Times New Roman" w:hAnsi="Times New Roman"/>
          <w:b/>
          <w:i w:val="0"/>
          <w:sz w:val="24"/>
        </w:rPr>
        <w:t>Data provenance and limitations.</w:t>
      </w:r>
      <w:r>
        <w:rPr>
          <w:rFonts w:ascii="Times New Roman" w:hAnsi="Times New Roman"/>
          <w:b w:val="0"/>
          <w:i w:val="0"/>
          <w:sz w:val="24"/>
        </w:rPr>
        <w:t xml:space="preserve"> All 341 data points were extracted from peer-reviewed publications; no synthetic or simulated data were used. Three limitations of the dataset should be noted: (i) the uneven representation of carbon precursors — several feedstocks are represented by fewer than 10 observations, which may limit the model's ability to generalize to unseen biomass types; (ii) the high missing rate for </w:t>
      </w:r>
      <w:r>
        <w:rPr>
          <w:rFonts w:ascii="Consolas" w:hAnsi="Consolas"/>
          <w:b w:val="0"/>
          <w:i w:val="0"/>
          <w:sz w:val="21"/>
        </w:rPr>
        <w:t>Vmicro_cm3_g</w:t>
      </w:r>
      <w:r>
        <w:rPr>
          <w:rFonts w:ascii="Times New Roman" w:hAnsi="Times New Roman"/>
          <w:b w:val="0"/>
          <w:i w:val="0"/>
          <w:sz w:val="24"/>
        </w:rPr>
        <w:t xml:space="preserve"> (42.2%) and the complete exclusion of </w:t>
      </w:r>
      <w:r>
        <w:rPr>
          <w:rFonts w:ascii="Consolas" w:hAnsi="Consolas"/>
          <w:b w:val="0"/>
          <w:i w:val="0"/>
          <w:sz w:val="21"/>
        </w:rPr>
        <w:t>MgO_crystallite_size_nm</w:t>
      </w:r>
      <w:r>
        <w:rPr>
          <w:rFonts w:ascii="Times New Roman" w:hAnsi="Times New Roman"/>
          <w:b w:val="0"/>
          <w:i w:val="0"/>
          <w:sz w:val="24"/>
        </w:rPr>
        <w:t xml:space="preserve"> (72.1% missing), both of which necessitate careful imputation strategies (addressed in Section 2.2.2); and (iii) the absence of certain potentially informative descriptors — including elemental composition (C/H/N/O/S), ash content, and surface functional group density — which were inconsistently reported across the source studies and could not be reliably compiled into a unified dataset.</w:t>
      </w:r>
    </w:p>
    <w:p>
      <w:r>
        <w:rPr>
          <w:rFonts w:ascii="Times New Roman" w:hAnsi="Times New Roman"/>
          <w:b w:val="0"/>
          <w:i w:val="0"/>
          <w:sz w:val="24"/>
        </w:rPr>
        <w:t>---</w:t>
      </w:r>
    </w:p>
    <w:p>
      <w:pPr>
        <w:pStyle w:val="Heading2"/>
      </w:pPr>
      <w:r>
        <w:rPr>
          <w:rFonts w:ascii="Times New Roman" w:hAnsi="Times New Roman"/>
          <w:b w:val="0"/>
          <w:i w:val="0"/>
          <w:sz w:val="24"/>
        </w:rPr>
        <w:t>2.2 Data Processing</w:t>
      </w:r>
    </w:p>
    <w:p>
      <w:r>
        <w:rPr>
          <w:rFonts w:ascii="Times New Roman" w:hAnsi="Times New Roman"/>
          <w:b w:val="0"/>
          <w:i w:val="0"/>
          <w:sz w:val="24"/>
        </w:rPr>
        <w:t>The data processing pipeline consists of five sequential stages: (i) raw data ingestion and cleaning, (ii) missing value imputation with physical constraints, (iii) feature engineering via regular expression parsing and domain-informed composite feature construction, (iv) categorical encoding and numerical scaling in a pipeline-specific manner, and (v) dataset splitting for model evaluation.</w:t>
      </w:r>
    </w:p>
    <w:p>
      <w:pPr>
        <w:pStyle w:val="Heading3"/>
      </w:pPr>
      <w:r>
        <w:rPr>
          <w:rFonts w:ascii="Times New Roman" w:hAnsi="Times New Roman"/>
          <w:b w:val="0"/>
          <w:i w:val="0"/>
          <w:sz w:val="24"/>
        </w:rPr>
        <w:t>2.2.1 Data Cleaning</w:t>
      </w:r>
    </w:p>
    <w:p>
      <w:r>
        <w:rPr>
          <w:rFonts w:ascii="Times New Roman" w:hAnsi="Times New Roman"/>
          <w:b w:val="0"/>
          <w:i w:val="0"/>
          <w:sz w:val="24"/>
        </w:rPr>
        <w:t>The raw dataset was loaded from an Excel spreadsheet (</w:t>
      </w:r>
      <w:r>
        <w:rPr>
          <w:rFonts w:ascii="Consolas" w:hAnsi="Consolas"/>
          <w:b w:val="0"/>
          <w:i w:val="0"/>
          <w:sz w:val="21"/>
        </w:rPr>
        <w:t>0514biochar-MgOdata.xlsx</w:t>
      </w:r>
      <w:r>
        <w:rPr>
          <w:rFonts w:ascii="Times New Roman" w:hAnsi="Times New Roman"/>
          <w:b w:val="0"/>
          <w:i w:val="0"/>
          <w:sz w:val="24"/>
        </w:rPr>
        <w:t>) with the first two rows (merged column headers) skipped. The following cleaning operations were applied:</w:t>
      </w:r>
    </w:p>
    <w:p>
      <w:pPr>
        <w:pStyle w:val="ListBullet"/>
      </w:pPr>
      <w:r>
        <w:rPr>
          <w:rFonts w:ascii="Times New Roman" w:hAnsi="Times New Roman"/>
          <w:b/>
          <w:i w:val="0"/>
          <w:sz w:val="24"/>
        </w:rPr>
        <w:t>Column assignment.</w:t>
      </w:r>
      <w:r>
        <w:rPr>
          <w:rFonts w:ascii="Times New Roman" w:hAnsi="Times New Roman"/>
          <w:b w:val="0"/>
          <w:i w:val="0"/>
          <w:sz w:val="24"/>
        </w:rPr>
        <w:t xml:space="preserve"> Fifteen standardized column names were assigned to the parsed columns (excluding the </w:t>
      </w:r>
      <w:r>
        <w:rPr>
          <w:rFonts w:ascii="Consolas" w:hAnsi="Consolas"/>
          <w:b w:val="0"/>
          <w:i w:val="0"/>
          <w:sz w:val="21"/>
        </w:rPr>
        <w:t>References</w:t>
      </w:r>
      <w:r>
        <w:rPr>
          <w:rFonts w:ascii="Times New Roman" w:hAnsi="Times New Roman"/>
          <w:b w:val="0"/>
          <w:i w:val="0"/>
          <w:sz w:val="24"/>
        </w:rPr>
        <w:t xml:space="preserve"> column, which contains bibliographic metadata and is not a predictive feature).</w:t>
      </w:r>
    </w:p>
    <w:p>
      <w:pPr>
        <w:pStyle w:val="ListBullet"/>
      </w:pPr>
      <w:r>
        <w:rPr>
          <w:rFonts w:ascii="Times New Roman" w:hAnsi="Times New Roman"/>
          <w:b/>
          <w:i w:val="0"/>
          <w:sz w:val="24"/>
        </w:rPr>
        <w:t>Numeric coercion.</w:t>
      </w:r>
      <w:r>
        <w:rPr>
          <w:rFonts w:ascii="Times New Roman" w:hAnsi="Times New Roman"/>
          <w:b w:val="0"/>
          <w:i w:val="0"/>
          <w:sz w:val="24"/>
        </w:rPr>
        <w:t xml:space="preserve"> All numeric columns (</w:t>
      </w:r>
      <w:r>
        <w:rPr>
          <w:rFonts w:ascii="Consolas" w:hAnsi="Consolas"/>
          <w:b w:val="0"/>
          <w:i w:val="0"/>
          <w:sz w:val="21"/>
        </w:rPr>
        <w:t>SBET_m2_g</w:t>
      </w:r>
      <w:r>
        <w:rPr>
          <w:rFonts w:ascii="Times New Roman" w:hAnsi="Times New Roman"/>
          <w:b w:val="0"/>
          <w:i w:val="0"/>
          <w:sz w:val="24"/>
        </w:rPr>
        <w:t xml:space="preserve">, </w:t>
      </w:r>
      <w:r>
        <w:rPr>
          <w:rFonts w:ascii="Consolas" w:hAnsi="Consolas"/>
          <w:b w:val="0"/>
          <w:i w:val="0"/>
          <w:sz w:val="21"/>
        </w:rPr>
        <w:t>Vtotal_cm3_g</w:t>
      </w:r>
      <w:r>
        <w:rPr>
          <w:rFonts w:ascii="Times New Roman" w:hAnsi="Times New Roman"/>
          <w:b w:val="0"/>
          <w:i w:val="0"/>
          <w:sz w:val="24"/>
        </w:rPr>
        <w:t xml:space="preserve">, </w:t>
      </w:r>
      <w:r>
        <w:rPr>
          <w:rFonts w:ascii="Consolas" w:hAnsi="Consolas"/>
          <w:b w:val="0"/>
          <w:i w:val="0"/>
          <w:sz w:val="21"/>
        </w:rPr>
        <w:t>Vmicro_cm3_g</w:t>
      </w:r>
      <w:r>
        <w:rPr>
          <w:rFonts w:ascii="Times New Roman" w:hAnsi="Times New Roman"/>
          <w:b w:val="0"/>
          <w:i w:val="0"/>
          <w:sz w:val="24"/>
        </w:rPr>
        <w:t xml:space="preserve">, </w:t>
      </w:r>
      <w:r>
        <w:rPr>
          <w:rFonts w:ascii="Consolas" w:hAnsi="Consolas"/>
          <w:b w:val="0"/>
          <w:i w:val="0"/>
          <w:sz w:val="21"/>
        </w:rPr>
        <w:t>MgO_crystallite_size_nm</w:t>
      </w:r>
      <w:r>
        <w:rPr>
          <w:rFonts w:ascii="Times New Roman" w:hAnsi="Times New Roman"/>
          <w:b w:val="0"/>
          <w:i w:val="0"/>
          <w:sz w:val="24"/>
        </w:rPr>
        <w:t xml:space="preserve">, </w:t>
      </w:r>
      <w:r>
        <w:rPr>
          <w:rFonts w:ascii="Consolas" w:hAnsi="Consolas"/>
          <w:b w:val="0"/>
          <w:i w:val="0"/>
          <w:sz w:val="21"/>
        </w:rPr>
        <w:t>MgO_mass_ratio</w:t>
      </w:r>
      <w:r>
        <w:rPr>
          <w:rFonts w:ascii="Times New Roman" w:hAnsi="Times New Roman"/>
          <w:b w:val="0"/>
          <w:i w:val="0"/>
          <w:sz w:val="24"/>
        </w:rPr>
        <w:t xml:space="preserve">, </w:t>
      </w:r>
      <w:r>
        <w:rPr>
          <w:rFonts w:ascii="Consolas" w:hAnsi="Consolas"/>
          <w:b w:val="0"/>
          <w:i w:val="0"/>
          <w:sz w:val="21"/>
        </w:rPr>
        <w:t>temperature_C</w:t>
      </w:r>
      <w:r>
        <w:rPr>
          <w:rFonts w:ascii="Times New Roman" w:hAnsi="Times New Roman"/>
          <w:b w:val="0"/>
          <w:i w:val="0"/>
          <w:sz w:val="24"/>
        </w:rPr>
        <w:t xml:space="preserve">, </w:t>
      </w:r>
      <w:r>
        <w:rPr>
          <w:rFonts w:ascii="Consolas" w:hAnsi="Consolas"/>
          <w:b w:val="0"/>
          <w:i w:val="0"/>
          <w:sz w:val="21"/>
        </w:rPr>
        <w:t>pressure_bar</w:t>
      </w:r>
      <w:r>
        <w:rPr>
          <w:rFonts w:ascii="Times New Roman" w:hAnsi="Times New Roman"/>
          <w:b w:val="0"/>
          <w:i w:val="0"/>
          <w:sz w:val="24"/>
        </w:rPr>
        <w:t xml:space="preserve">, </w:t>
      </w:r>
      <w:r>
        <w:rPr>
          <w:rFonts w:ascii="Consolas" w:hAnsi="Consolas"/>
          <w:b w:val="0"/>
          <w:i w:val="0"/>
          <w:sz w:val="21"/>
        </w:rPr>
        <w:t>CO2_uptake_mg_g</w:t>
      </w:r>
      <w:r>
        <w:rPr>
          <w:rFonts w:ascii="Times New Roman" w:hAnsi="Times New Roman"/>
          <w:b w:val="0"/>
          <w:i w:val="0"/>
          <w:sz w:val="24"/>
        </w:rPr>
        <w:t xml:space="preserve">) were converted via </w:t>
      </w:r>
      <w:r>
        <w:rPr>
          <w:rFonts w:ascii="Consolas" w:hAnsi="Consolas"/>
          <w:b w:val="0"/>
          <w:i w:val="0"/>
          <w:sz w:val="21"/>
        </w:rPr>
        <w:t>pd.to_numeric(..., errors='coerce')</w:t>
      </w:r>
      <w:r>
        <w:rPr>
          <w:rFonts w:ascii="Times New Roman" w:hAnsi="Times New Roman"/>
          <w:b w:val="0"/>
          <w:i w:val="0"/>
          <w:sz w:val="24"/>
        </w:rPr>
        <w:t xml:space="preserve">, with non-numeric entries mapped to </w:t>
      </w:r>
      <w:r>
        <w:rPr>
          <w:rFonts w:ascii="Consolas" w:hAnsi="Consolas"/>
          <w:b w:val="0"/>
          <w:i w:val="0"/>
          <w:sz w:val="21"/>
        </w:rPr>
        <w:t>NaN</w:t>
      </w:r>
      <w:r>
        <w:rPr>
          <w:rFonts w:ascii="Times New Roman" w:hAnsi="Times New Roman"/>
          <w:b w:val="0"/>
          <w:i w:val="0"/>
          <w:sz w:val="24"/>
        </w:rPr>
        <w:t xml:space="preserve"> to be handled by the imputation stage.</w:t>
      </w:r>
    </w:p>
    <w:p>
      <w:pPr>
        <w:pStyle w:val="ListBullet"/>
      </w:pPr>
      <w:r>
        <w:rPr>
          <w:rFonts w:ascii="Times New Roman" w:hAnsi="Times New Roman"/>
          <w:b/>
          <w:i w:val="0"/>
          <w:sz w:val="24"/>
        </w:rPr>
        <w:t>Unicode normalization.</w:t>
      </w:r>
      <w:r>
        <w:rPr>
          <w:rFonts w:ascii="Times New Roman" w:hAnsi="Times New Roman"/>
          <w:b w:val="0"/>
          <w:i w:val="0"/>
          <w:sz w:val="24"/>
        </w:rPr>
        <w:t xml:space="preserve"> The </w:t>
      </w:r>
      <w:r>
        <w:rPr>
          <w:rFonts w:ascii="Consolas" w:hAnsi="Consolas"/>
          <w:b w:val="0"/>
          <w:i w:val="0"/>
          <w:sz w:val="21"/>
        </w:rPr>
        <w:t>MgO_precursors</w:t>
      </w:r>
      <w:r>
        <w:rPr>
          <w:rFonts w:ascii="Times New Roman" w:hAnsi="Times New Roman"/>
          <w:b w:val="0"/>
          <w:i w:val="0"/>
          <w:sz w:val="24"/>
        </w:rPr>
        <w:t xml:space="preserve"> column was normalized using </w:t>
      </w:r>
      <w:r>
        <w:rPr>
          <w:rFonts w:ascii="Consolas" w:hAnsi="Consolas"/>
          <w:b w:val="0"/>
          <w:i w:val="0"/>
          <w:sz w:val="21"/>
        </w:rPr>
        <w:t>unicodedata.normalize('NFKC', ...)</w:t>
      </w:r>
      <w:r>
        <w:rPr>
          <w:rFonts w:ascii="Times New Roman" w:hAnsi="Times New Roman"/>
          <w:b w:val="0"/>
          <w:i w:val="0"/>
          <w:sz w:val="24"/>
        </w:rPr>
        <w:t xml:space="preserve"> to unify visually distinct but semantically identical Unicode representations (e.g., full-width vs. half-width parentheses, dot operator variants such as </w:t>
      </w:r>
      <w:r>
        <w:rPr>
          <w:rFonts w:ascii="Consolas" w:hAnsi="Consolas"/>
          <w:b w:val="0"/>
          <w:i w:val="0"/>
          <w:sz w:val="21"/>
        </w:rPr>
        <w:t>·</w:t>
      </w:r>
      <w:r>
        <w:rPr>
          <w:rFonts w:ascii="Times New Roman" w:hAnsi="Times New Roman"/>
          <w:b w:val="0"/>
          <w:i w:val="0"/>
          <w:sz w:val="24"/>
        </w:rPr>
        <w:t xml:space="preserve"> vs. </w:t>
      </w:r>
      <w:r>
        <w:rPr>
          <w:rFonts w:ascii="Consolas" w:hAnsi="Consolas"/>
          <w:b w:val="0"/>
          <w:i w:val="0"/>
          <w:sz w:val="21"/>
        </w:rPr>
        <w:t>⋅</w:t>
      </w:r>
      <w:r>
        <w:rPr>
          <w:rFonts w:ascii="Times New Roman" w:hAnsi="Times New Roman"/>
          <w:b w:val="0"/>
          <w:i w:val="0"/>
          <w:sz w:val="24"/>
        </w:rPr>
        <w:t>). Excess whitespace was collapsed.</w:t>
      </w:r>
    </w:p>
    <w:p>
      <w:pPr>
        <w:pStyle w:val="ListBullet"/>
      </w:pPr>
      <w:r>
        <w:rPr>
          <w:rFonts w:ascii="Times New Roman" w:hAnsi="Times New Roman"/>
          <w:b/>
          <w:i w:val="0"/>
          <w:sz w:val="24"/>
        </w:rPr>
        <w:t>Process column handling.</w:t>
      </w:r>
      <w:r>
        <w:rPr>
          <w:rFonts w:ascii="Times New Roman" w:hAnsi="Times New Roman"/>
          <w:b w:val="0"/>
          <w:i w:val="0"/>
          <w:sz w:val="24"/>
        </w:rPr>
        <w:t xml:space="preserve"> Five process-description columns (</w:t>
      </w:r>
      <w:r>
        <w:rPr>
          <w:rFonts w:ascii="Consolas" w:hAnsi="Consolas"/>
          <w:b w:val="0"/>
          <w:i w:val="0"/>
          <w:sz w:val="21"/>
        </w:rPr>
        <w:t>Activation1</w:t>
      </w:r>
      <w:r>
        <w:rPr>
          <w:rFonts w:ascii="Times New Roman" w:hAnsi="Times New Roman"/>
          <w:b w:val="0"/>
          <w:i w:val="0"/>
          <w:sz w:val="24"/>
        </w:rPr>
        <w:t xml:space="preserve">, </w:t>
      </w:r>
      <w:r>
        <w:rPr>
          <w:rFonts w:ascii="Consolas" w:hAnsi="Consolas"/>
          <w:b w:val="0"/>
          <w:i w:val="0"/>
          <w:sz w:val="21"/>
        </w:rPr>
        <w:t>Activation2</w:t>
      </w:r>
      <w:r>
        <w:rPr>
          <w:rFonts w:ascii="Times New Roman" w:hAnsi="Times New Roman"/>
          <w:b w:val="0"/>
          <w:i w:val="0"/>
          <w:sz w:val="24"/>
        </w:rPr>
        <w:t xml:space="preserve">, </w:t>
      </w:r>
      <w:r>
        <w:rPr>
          <w:rFonts w:ascii="Consolas" w:hAnsi="Consolas"/>
          <w:b w:val="0"/>
          <w:i w:val="0"/>
          <w:sz w:val="21"/>
        </w:rPr>
        <w:t>Carbonization1</w:t>
      </w:r>
      <w:r>
        <w:rPr>
          <w:rFonts w:ascii="Times New Roman" w:hAnsi="Times New Roman"/>
          <w:b w:val="0"/>
          <w:i w:val="0"/>
          <w:sz w:val="24"/>
        </w:rPr>
        <w:t xml:space="preserve">, </w:t>
      </w:r>
      <w:r>
        <w:rPr>
          <w:rFonts w:ascii="Consolas" w:hAnsi="Consolas"/>
          <w:b w:val="0"/>
          <w:i w:val="0"/>
          <w:sz w:val="21"/>
        </w:rPr>
        <w:t>Carbonization2</w:t>
      </w:r>
      <w:r>
        <w:rPr>
          <w:rFonts w:ascii="Times New Roman" w:hAnsi="Times New Roman"/>
          <w:b w:val="0"/>
          <w:i w:val="0"/>
          <w:sz w:val="24"/>
        </w:rPr>
        <w:t xml:space="preserve">, </w:t>
      </w:r>
      <w:r>
        <w:rPr>
          <w:rFonts w:ascii="Consolas" w:hAnsi="Consolas"/>
          <w:b w:val="0"/>
          <w:i w:val="0"/>
          <w:sz w:val="21"/>
        </w:rPr>
        <w:t>Post_treatment</w:t>
      </w:r>
      <w:r>
        <w:rPr>
          <w:rFonts w:ascii="Times New Roman" w:hAnsi="Times New Roman"/>
          <w:b w:val="0"/>
          <w:i w:val="0"/>
          <w:sz w:val="24"/>
        </w:rPr>
        <w:t xml:space="preserve">) originally contained free-text descriptions of synthesis steps (e.g., "carbonized at 500 °C for 2 h", "activated with KOH at 700 °C for 1 h"). Missing values in these columns—indicating that the corresponding synthesis step was not performed—were filled with the string </w:t>
      </w:r>
      <w:r>
        <w:rPr>
          <w:rFonts w:ascii="Consolas" w:hAnsi="Consolas"/>
          <w:b w:val="0"/>
          <w:i w:val="0"/>
          <w:sz w:val="21"/>
        </w:rPr>
        <w:t>"none"</w:t>
      </w:r>
      <w:r>
        <w:rPr>
          <w:rFonts w:ascii="Times New Roman" w:hAnsi="Times New Roman"/>
          <w:b w:val="0"/>
          <w:i w:val="0"/>
          <w:sz w:val="24"/>
        </w:rPr>
        <w:t>, which is subsequently treated as a legitimate category.</w:t>
      </w:r>
    </w:p>
    <w:p>
      <w:pPr>
        <w:pStyle w:val="ListBullet"/>
      </w:pPr>
      <w:r>
        <w:rPr>
          <w:rFonts w:ascii="Times New Roman" w:hAnsi="Times New Roman"/>
          <w:b/>
          <w:i w:val="0"/>
          <w:sz w:val="24"/>
        </w:rPr>
        <w:t>Synonym merging.</w:t>
      </w:r>
      <w:r>
        <w:rPr>
          <w:rFonts w:ascii="Times New Roman" w:hAnsi="Times New Roman"/>
          <w:b w:val="0"/>
          <w:i w:val="0"/>
          <w:sz w:val="24"/>
        </w:rPr>
        <w:t xml:space="preserve"> The loading method labels </w:t>
      </w:r>
      <w:r>
        <w:rPr>
          <w:rFonts w:ascii="Consolas" w:hAnsi="Consolas"/>
          <w:b w:val="0"/>
          <w:i w:val="0"/>
          <w:sz w:val="21"/>
        </w:rPr>
        <w:t>"wetness impregnation"</w:t>
      </w:r>
      <w:r>
        <w:rPr>
          <w:rFonts w:ascii="Times New Roman" w:hAnsi="Times New Roman"/>
          <w:b w:val="0"/>
          <w:i w:val="0"/>
          <w:sz w:val="24"/>
        </w:rPr>
        <w:t xml:space="preserve"> and </w:t>
      </w:r>
      <w:r>
        <w:rPr>
          <w:rFonts w:ascii="Consolas" w:hAnsi="Consolas"/>
          <w:b w:val="0"/>
          <w:i w:val="0"/>
          <w:sz w:val="21"/>
        </w:rPr>
        <w:t>"impregnation"</w:t>
      </w:r>
      <w:r>
        <w:rPr>
          <w:rFonts w:ascii="Times New Roman" w:hAnsi="Times New Roman"/>
          <w:b w:val="0"/>
          <w:i w:val="0"/>
          <w:sz w:val="24"/>
        </w:rPr>
        <w:t xml:space="preserve"> were merged into a single category.</w:t>
      </w:r>
    </w:p>
    <w:p>
      <w:pPr>
        <w:pStyle w:val="Heading3"/>
      </w:pPr>
      <w:r>
        <w:rPr>
          <w:rFonts w:ascii="Times New Roman" w:hAnsi="Times New Roman"/>
          <w:b w:val="0"/>
          <w:i w:val="0"/>
          <w:sz w:val="24"/>
        </w:rPr>
        <w:t>2.2.2 Missing Value Imputation</w:t>
      </w:r>
    </w:p>
    <w:p>
      <w:r>
        <w:rPr>
          <w:rFonts w:ascii="Times New Roman" w:hAnsi="Times New Roman"/>
          <w:b w:val="0"/>
          <w:i w:val="0"/>
          <w:sz w:val="24"/>
        </w:rPr>
        <w:t>The imputation strategy was differentiated by column, guided by each variable's physical meaning and the nature of its missingness pattern (</w:t>
      </w:r>
      <w:r>
        <w:rPr>
          <w:rFonts w:ascii="Times New Roman" w:hAnsi="Times New Roman"/>
          <w:b/>
          <w:i w:val="0"/>
          <w:sz w:val="24"/>
        </w:rPr>
        <w:t>Table 2</w:t>
      </w:r>
      <w:r>
        <w:rPr>
          <w:rFonts w:ascii="Times New Roman" w:hAnsi="Times New Roman"/>
          <w:b w:val="0"/>
          <w:i w:val="0"/>
          <w:sz w:val="24"/>
        </w:rPr>
        <w: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before="20" w:after="20"/>
              <w:jc w:val="center"/>
            </w:pPr>
            <w:r>
              <w:rPr>
                <w:rFonts w:ascii="Times New Roman" w:hAnsi="Times New Roman"/>
              </w:rPr>
            </w:r>
            <w:r>
              <w:rPr>
                <w:rFonts w:ascii="Times New Roman" w:hAnsi="Times New Roman"/>
                <w:b/>
                <w:sz w:val="20"/>
              </w:rPr>
              <w:t>Variable</w:t>
            </w:r>
          </w:p>
        </w:tc>
        <w:tc>
          <w:tcPr>
            <w:tcW w:type="dxa" w:w="1872"/>
            <w:shd w:fill="D9E2F3"/>
          </w:tcPr>
          <w:p>
            <w:pPr>
              <w:spacing w:before="20" w:after="20"/>
              <w:jc w:val="center"/>
            </w:pPr>
            <w:r>
              <w:rPr>
                <w:rFonts w:ascii="Times New Roman" w:hAnsi="Times New Roman"/>
              </w:rPr>
            </w:r>
            <w:r>
              <w:rPr>
                <w:rFonts w:ascii="Times New Roman" w:hAnsi="Times New Roman"/>
                <w:b/>
                <w:sz w:val="20"/>
              </w:rPr>
              <w:t>Missing Count</w:t>
            </w:r>
          </w:p>
        </w:tc>
        <w:tc>
          <w:tcPr>
            <w:tcW w:type="dxa" w:w="1872"/>
            <w:shd w:fill="D9E2F3"/>
          </w:tcPr>
          <w:p>
            <w:pPr>
              <w:spacing w:before="20" w:after="20"/>
              <w:jc w:val="center"/>
            </w:pPr>
            <w:r>
              <w:rPr>
                <w:rFonts w:ascii="Times New Roman" w:hAnsi="Times New Roman"/>
              </w:rPr>
            </w:r>
            <w:r>
              <w:rPr>
                <w:rFonts w:ascii="Times New Roman" w:hAnsi="Times New Roman"/>
                <w:b/>
                <w:sz w:val="20"/>
              </w:rPr>
              <w:t>Missing Rate</w:t>
            </w:r>
          </w:p>
        </w:tc>
        <w:tc>
          <w:tcPr>
            <w:tcW w:type="dxa" w:w="1872"/>
            <w:shd w:fill="D9E2F3"/>
          </w:tcPr>
          <w:p>
            <w:pPr>
              <w:spacing w:before="20" w:after="20"/>
              <w:jc w:val="center"/>
            </w:pPr>
            <w:r>
              <w:rPr>
                <w:rFonts w:ascii="Times New Roman" w:hAnsi="Times New Roman"/>
              </w:rPr>
            </w:r>
            <w:r>
              <w:rPr>
                <w:rFonts w:ascii="Times New Roman" w:hAnsi="Times New Roman"/>
                <w:b/>
                <w:sz w:val="20"/>
              </w:rPr>
              <w:t>Imputation Method</w:t>
            </w:r>
          </w:p>
        </w:tc>
        <w:tc>
          <w:tcPr>
            <w:tcW w:type="dxa" w:w="1872"/>
            <w:shd w:fill="D9E2F3"/>
          </w:tcPr>
          <w:p>
            <w:pPr>
              <w:spacing w:before="20" w:after="20"/>
              <w:jc w:val="center"/>
            </w:pPr>
            <w:r>
              <w:rPr>
                <w:rFonts w:ascii="Times New Roman" w:hAnsi="Times New Roman"/>
              </w:rPr>
            </w:r>
            <w:r>
              <w:rPr>
                <w:rFonts w:ascii="Times New Roman" w:hAnsi="Times New Roman"/>
                <w:b/>
                <w:sz w:val="20"/>
              </w:rPr>
              <w:t>Rationale</w:t>
            </w:r>
          </w:p>
        </w:tc>
      </w:tr>
      <w:tr>
        <w:tc>
          <w:tcPr>
            <w:tcW w:type="dxa" w:w="1872"/>
          </w:tcPr>
          <w:p>
            <w:pPr>
              <w:spacing w:before="20" w:after="20"/>
            </w:pPr>
            <w:r>
              <w:rPr>
                <w:rFonts w:ascii="Times New Roman" w:hAnsi="Times New Roman"/>
              </w:rPr>
            </w:r>
            <w:r>
              <w:rPr>
                <w:rFonts w:ascii="Times New Roman" w:hAnsi="Times New Roman"/>
                <w:sz w:val="19"/>
              </w:rPr>
              <w:t>`SBET_m2_g`</w:t>
            </w:r>
          </w:p>
        </w:tc>
        <w:tc>
          <w:tcPr>
            <w:tcW w:type="dxa" w:w="1872"/>
          </w:tcPr>
          <w:p>
            <w:pPr>
              <w:spacing w:before="20" w:after="20"/>
            </w:pPr>
            <w:r>
              <w:rPr>
                <w:rFonts w:ascii="Times New Roman" w:hAnsi="Times New Roman"/>
              </w:rPr>
            </w:r>
            <w:r>
              <w:rPr>
                <w:rFonts w:ascii="Times New Roman" w:hAnsi="Times New Roman"/>
                <w:sz w:val="19"/>
              </w:rPr>
              <w:t>15</w:t>
            </w:r>
          </w:p>
        </w:tc>
        <w:tc>
          <w:tcPr>
            <w:tcW w:type="dxa" w:w="1872"/>
          </w:tcPr>
          <w:p>
            <w:pPr>
              <w:spacing w:before="20" w:after="20"/>
            </w:pPr>
            <w:r>
              <w:rPr>
                <w:rFonts w:ascii="Times New Roman" w:hAnsi="Times New Roman"/>
              </w:rPr>
            </w:r>
            <w:r>
              <w:rPr>
                <w:rFonts w:ascii="Times New Roman" w:hAnsi="Times New Roman"/>
                <w:sz w:val="19"/>
              </w:rPr>
              <w:t>4.4%</w:t>
            </w:r>
          </w:p>
        </w:tc>
        <w:tc>
          <w:tcPr>
            <w:tcW w:type="dxa" w:w="1872"/>
          </w:tcPr>
          <w:p>
            <w:pPr>
              <w:spacing w:before="20" w:after="20"/>
            </w:pPr>
            <w:r>
              <w:rPr>
                <w:rFonts w:ascii="Times New Roman" w:hAnsi="Times New Roman"/>
              </w:rPr>
            </w:r>
            <w:r>
              <w:rPr>
                <w:rFonts w:ascii="Times New Roman" w:hAnsi="Times New Roman"/>
                <w:sz w:val="19"/>
              </w:rPr>
              <w:t>KNNImputer (k = 5)</w:t>
            </w:r>
          </w:p>
        </w:tc>
        <w:tc>
          <w:tcPr>
            <w:tcW w:type="dxa" w:w="1872"/>
          </w:tcPr>
          <w:p>
            <w:pPr>
              <w:spacing w:before="20" w:after="20"/>
            </w:pPr>
            <w:r>
              <w:rPr>
                <w:rFonts w:ascii="Times New Roman" w:hAnsi="Times New Roman"/>
              </w:rPr>
            </w:r>
            <w:r>
              <w:rPr>
                <w:rFonts w:ascii="Times New Roman" w:hAnsi="Times New Roman"/>
                <w:sz w:val="19"/>
              </w:rPr>
              <w:t>BET surface area and total pore volume are textural properties with strong spatial correlation; KNN leverages nearest-neighbor similarity in the (SBET, Vtotal) space</w:t>
            </w:r>
          </w:p>
        </w:tc>
      </w:tr>
      <w:tr>
        <w:tc>
          <w:tcPr>
            <w:tcW w:type="dxa" w:w="1872"/>
          </w:tcPr>
          <w:p>
            <w:pPr>
              <w:spacing w:before="20" w:after="20"/>
            </w:pPr>
            <w:r>
              <w:rPr>
                <w:rFonts w:ascii="Times New Roman" w:hAnsi="Times New Roman"/>
              </w:rPr>
            </w:r>
            <w:r>
              <w:rPr>
                <w:rFonts w:ascii="Times New Roman" w:hAnsi="Times New Roman"/>
                <w:sz w:val="19"/>
              </w:rPr>
              <w:t>`Vtotal_cm3_g`</w:t>
            </w:r>
          </w:p>
        </w:tc>
        <w:tc>
          <w:tcPr>
            <w:tcW w:type="dxa" w:w="1872"/>
          </w:tcPr>
          <w:p>
            <w:pPr>
              <w:spacing w:before="20" w:after="20"/>
            </w:pPr>
            <w:r>
              <w:rPr>
                <w:rFonts w:ascii="Times New Roman" w:hAnsi="Times New Roman"/>
              </w:rPr>
            </w:r>
            <w:r>
              <w:rPr>
                <w:rFonts w:ascii="Times New Roman" w:hAnsi="Times New Roman"/>
                <w:sz w:val="19"/>
              </w:rPr>
              <w:t>15</w:t>
            </w:r>
          </w:p>
        </w:tc>
        <w:tc>
          <w:tcPr>
            <w:tcW w:type="dxa" w:w="1872"/>
          </w:tcPr>
          <w:p>
            <w:pPr>
              <w:spacing w:before="20" w:after="20"/>
            </w:pPr>
            <w:r>
              <w:rPr>
                <w:rFonts w:ascii="Times New Roman" w:hAnsi="Times New Roman"/>
              </w:rPr>
            </w:r>
            <w:r>
              <w:rPr>
                <w:rFonts w:ascii="Times New Roman" w:hAnsi="Times New Roman"/>
                <w:sz w:val="19"/>
              </w:rPr>
              <w:t>4.4%</w:t>
            </w:r>
          </w:p>
        </w:tc>
        <w:tc>
          <w:tcPr>
            <w:tcW w:type="dxa" w:w="1872"/>
          </w:tcPr>
          <w:p>
            <w:pPr>
              <w:spacing w:before="20" w:after="20"/>
            </w:pPr>
            <w:r>
              <w:rPr>
                <w:rFonts w:ascii="Times New Roman" w:hAnsi="Times New Roman"/>
              </w:rPr>
            </w:r>
            <w:r>
              <w:rPr>
                <w:rFonts w:ascii="Times New Roman" w:hAnsi="Times New Roman"/>
                <w:sz w:val="19"/>
              </w:rPr>
              <w:t>KNNImputer (k = 5)</w:t>
            </w:r>
          </w:p>
        </w:tc>
        <w:tc>
          <w:tcPr>
            <w:tcW w:type="dxa" w:w="1872"/>
          </w:tcPr>
          <w:p>
            <w:pPr>
              <w:spacing w:before="20" w:after="20"/>
            </w:pPr>
            <w:r>
              <w:rPr>
                <w:rFonts w:ascii="Times New Roman" w:hAnsi="Times New Roman"/>
              </w:rPr>
            </w:r>
            <w:r>
              <w:rPr>
                <w:rFonts w:ascii="Times New Roman" w:hAnsi="Times New Roman"/>
                <w:sz w:val="19"/>
              </w:rPr>
              <w:t>Same as above</w:t>
            </w:r>
          </w:p>
        </w:tc>
      </w:tr>
      <w:tr>
        <w:tc>
          <w:tcPr>
            <w:tcW w:type="dxa" w:w="1872"/>
          </w:tcPr>
          <w:p>
            <w:pPr>
              <w:spacing w:before="20" w:after="20"/>
            </w:pPr>
            <w:r>
              <w:rPr>
                <w:rFonts w:ascii="Times New Roman" w:hAnsi="Times New Roman"/>
              </w:rPr>
            </w:r>
            <w:r>
              <w:rPr>
                <w:rFonts w:ascii="Times New Roman" w:hAnsi="Times New Roman"/>
                <w:sz w:val="19"/>
              </w:rPr>
              <w:t>`Vmicro_cm3_g`</w:t>
            </w:r>
          </w:p>
        </w:tc>
        <w:tc>
          <w:tcPr>
            <w:tcW w:type="dxa" w:w="1872"/>
          </w:tcPr>
          <w:p>
            <w:pPr>
              <w:spacing w:before="20" w:after="20"/>
            </w:pPr>
            <w:r>
              <w:rPr>
                <w:rFonts w:ascii="Times New Roman" w:hAnsi="Times New Roman"/>
              </w:rPr>
            </w:r>
            <w:r>
              <w:rPr>
                <w:rFonts w:ascii="Times New Roman" w:hAnsi="Times New Roman"/>
                <w:sz w:val="19"/>
              </w:rPr>
              <w:t>144</w:t>
            </w:r>
          </w:p>
        </w:tc>
        <w:tc>
          <w:tcPr>
            <w:tcW w:type="dxa" w:w="1872"/>
          </w:tcPr>
          <w:p>
            <w:pPr>
              <w:spacing w:before="20" w:after="20"/>
            </w:pPr>
            <w:r>
              <w:rPr>
                <w:rFonts w:ascii="Times New Roman" w:hAnsi="Times New Roman"/>
              </w:rPr>
            </w:r>
            <w:r>
              <w:rPr>
                <w:rFonts w:ascii="Times New Roman" w:hAnsi="Times New Roman"/>
                <w:sz w:val="19"/>
              </w:rPr>
              <w:t>42.2%</w:t>
            </w:r>
          </w:p>
        </w:tc>
        <w:tc>
          <w:tcPr>
            <w:tcW w:type="dxa" w:w="1872"/>
          </w:tcPr>
          <w:p>
            <w:pPr>
              <w:spacing w:before="20" w:after="20"/>
            </w:pPr>
            <w:r>
              <w:rPr>
                <w:rFonts w:ascii="Times New Roman" w:hAnsi="Times New Roman"/>
              </w:rPr>
            </w:r>
            <w:r>
              <w:rPr>
                <w:rFonts w:ascii="Times New Roman" w:hAnsi="Times New Roman"/>
                <w:sz w:val="19"/>
              </w:rPr>
              <w:t>IterativeImputer (BayesianRidge, max_iter = 20)</w:t>
            </w:r>
          </w:p>
        </w:tc>
        <w:tc>
          <w:tcPr>
            <w:tcW w:type="dxa" w:w="1872"/>
          </w:tcPr>
          <w:p>
            <w:pPr>
              <w:spacing w:before="20" w:after="20"/>
            </w:pPr>
            <w:r>
              <w:rPr>
                <w:rFonts w:ascii="Times New Roman" w:hAnsi="Times New Roman"/>
              </w:rPr>
            </w:r>
            <w:r>
              <w:rPr>
                <w:rFonts w:ascii="Times New Roman" w:hAnsi="Times New Roman"/>
                <w:sz w:val="19"/>
              </w:rPr>
              <w:t>Micropore volume is correlated with all other numeric columns; the iterative MICE-like approach models Vmicro as a function of the full numeric feature set</w:t>
            </w:r>
          </w:p>
        </w:tc>
      </w:tr>
      <w:tr>
        <w:tc>
          <w:tcPr>
            <w:tcW w:type="dxa" w:w="1872"/>
          </w:tcPr>
          <w:p>
            <w:pPr>
              <w:spacing w:before="20" w:after="20"/>
            </w:pPr>
            <w:r>
              <w:rPr>
                <w:rFonts w:ascii="Times New Roman" w:hAnsi="Times New Roman"/>
              </w:rPr>
            </w:r>
            <w:r>
              <w:rPr>
                <w:rFonts w:ascii="Times New Roman" w:hAnsi="Times New Roman"/>
                <w:sz w:val="19"/>
              </w:rPr>
              <w:t>`MgO_crystallite_size_nm`</w:t>
            </w:r>
          </w:p>
        </w:tc>
        <w:tc>
          <w:tcPr>
            <w:tcW w:type="dxa" w:w="1872"/>
          </w:tcPr>
          <w:p>
            <w:pPr>
              <w:spacing w:before="20" w:after="20"/>
            </w:pPr>
            <w:r>
              <w:rPr>
                <w:rFonts w:ascii="Times New Roman" w:hAnsi="Times New Roman"/>
              </w:rPr>
            </w:r>
            <w:r>
              <w:rPr>
                <w:rFonts w:ascii="Times New Roman" w:hAnsi="Times New Roman"/>
                <w:sz w:val="19"/>
              </w:rPr>
              <w:t>246</w:t>
            </w:r>
          </w:p>
        </w:tc>
        <w:tc>
          <w:tcPr>
            <w:tcW w:type="dxa" w:w="1872"/>
          </w:tcPr>
          <w:p>
            <w:pPr>
              <w:spacing w:before="20" w:after="20"/>
            </w:pPr>
            <w:r>
              <w:rPr>
                <w:rFonts w:ascii="Times New Roman" w:hAnsi="Times New Roman"/>
              </w:rPr>
            </w:r>
            <w:r>
              <w:rPr>
                <w:rFonts w:ascii="Times New Roman" w:hAnsi="Times New Roman"/>
                <w:sz w:val="19"/>
              </w:rPr>
              <w:t>72.1%</w:t>
            </w:r>
          </w:p>
        </w:tc>
        <w:tc>
          <w:tcPr>
            <w:tcW w:type="dxa" w:w="1872"/>
          </w:tcPr>
          <w:p>
            <w:pPr>
              <w:spacing w:before="20" w:after="20"/>
            </w:pPr>
            <w:r>
              <w:rPr>
                <w:rFonts w:ascii="Times New Roman" w:hAnsi="Times New Roman"/>
              </w:rPr>
            </w:r>
            <w:r>
              <w:rPr>
                <w:rFonts w:ascii="Times New Roman" w:hAnsi="Times New Roman"/>
                <w:sz w:val="19"/>
              </w:rPr>
              <w:t>**Column dropped**</w:t>
            </w:r>
          </w:p>
        </w:tc>
        <w:tc>
          <w:tcPr>
            <w:tcW w:type="dxa" w:w="1872"/>
          </w:tcPr>
          <w:p>
            <w:pPr>
              <w:spacing w:before="20" w:after="20"/>
            </w:pPr>
            <w:r>
              <w:rPr>
                <w:rFonts w:ascii="Times New Roman" w:hAnsi="Times New Roman"/>
              </w:rPr>
            </w:r>
            <w:r>
              <w:rPr>
                <w:rFonts w:ascii="Times New Roman" w:hAnsi="Times New Roman"/>
                <w:sz w:val="19"/>
              </w:rPr>
              <w:t>Missing rate exceeds 70%; any imputation would be unreliable and could introduce substantial bias</w:t>
            </w:r>
          </w:p>
        </w:tc>
      </w:tr>
    </w:tbl>
    <w:p/>
    <w:p>
      <w:r>
        <w:rPr>
          <w:rFonts w:ascii="Times New Roman" w:hAnsi="Times New Roman"/>
          <w:b w:val="0"/>
          <w:i w:val="0"/>
          <w:sz w:val="24"/>
        </w:rPr>
        <w:t xml:space="preserve">The imputation was implemented as a scikit-learn </w:t>
      </w:r>
      <w:r>
        <w:rPr>
          <w:rFonts w:ascii="Consolas" w:hAnsi="Consolas"/>
          <w:b w:val="0"/>
          <w:i w:val="0"/>
          <w:sz w:val="21"/>
        </w:rPr>
        <w:t>TransformerMixin</w:t>
      </w:r>
      <w:r>
        <w:rPr>
          <w:rFonts w:ascii="Times New Roman" w:hAnsi="Times New Roman"/>
          <w:b w:val="0"/>
          <w:i w:val="0"/>
          <w:sz w:val="24"/>
        </w:rPr>
        <w:t xml:space="preserve"> class (</w:t>
      </w:r>
      <w:r>
        <w:rPr>
          <w:rFonts w:ascii="Consolas" w:hAnsi="Consolas"/>
          <w:b w:val="0"/>
          <w:i w:val="0"/>
          <w:sz w:val="21"/>
        </w:rPr>
        <w:t>MissingValueImputer</w:t>
      </w:r>
      <w:r>
        <w:rPr>
          <w:rFonts w:ascii="Times New Roman" w:hAnsi="Times New Roman"/>
          <w:b w:val="0"/>
          <w:i w:val="0"/>
          <w:sz w:val="24"/>
        </w:rPr>
        <w:t>) to ensure that imputation models are fitted exclusively on training folds during cross-validation, preventing data leakage.</w:t>
      </w:r>
    </w:p>
    <w:p>
      <w:r>
        <w:rPr>
          <w:rFonts w:ascii="Times New Roman" w:hAnsi="Times New Roman"/>
          <w:b/>
          <w:i w:val="0"/>
          <w:sz w:val="24"/>
        </w:rPr>
        <w:t>Physical constraints.</w:t>
      </w:r>
      <w:r>
        <w:rPr>
          <w:rFonts w:ascii="Times New Roman" w:hAnsi="Times New Roman"/>
          <w:b w:val="0"/>
          <w:i w:val="0"/>
          <w:sz w:val="24"/>
        </w:rPr>
        <w:t xml:space="preserve"> After iterative imputation, two post-hoc corrections were enforced based on the physical definition of pore volume:</w:t>
      </w:r>
    </w:p>
    <w:p>
      <w:pPr>
        <w:pStyle w:val="ListBullet"/>
      </w:pPr>
      <w:r>
        <w:rPr>
          <w:rFonts w:ascii="Consolas" w:hAnsi="Consolas"/>
          <w:b w:val="0"/>
          <w:i w:val="0"/>
          <w:sz w:val="21"/>
        </w:rPr>
        <w:t>Vmicro_cm3_g ≥ 0</w:t>
      </w:r>
      <w:r>
        <w:rPr>
          <w:rFonts w:ascii="Times New Roman" w:hAnsi="Times New Roman"/>
          <w:b w:val="0"/>
          <w:i w:val="0"/>
          <w:sz w:val="24"/>
        </w:rPr>
        <w:t>: 1 observation with a negative imputed value was clipped to zero.</w:t>
      </w:r>
    </w:p>
    <w:p>
      <w:pPr>
        <w:pStyle w:val="ListBullet"/>
      </w:pPr>
      <w:r>
        <w:rPr>
          <w:rFonts w:ascii="Consolas" w:hAnsi="Consolas"/>
          <w:b w:val="0"/>
          <w:i w:val="0"/>
          <w:sz w:val="21"/>
        </w:rPr>
        <w:t>Vmicro_cm3_g ≤ Vtotal_cm3_g</w:t>
      </w:r>
      <w:r>
        <w:rPr>
          <w:rFonts w:ascii="Times New Roman" w:hAnsi="Times New Roman"/>
          <w:b w:val="0"/>
          <w:i w:val="0"/>
          <w:sz w:val="24"/>
        </w:rPr>
        <w:t>: 45 observations where the imputed Vmicro exceeded Vtotal were truncated to Vtotal.</w:t>
      </w:r>
    </w:p>
    <w:p>
      <w:r>
        <w:rPr>
          <w:rFonts w:ascii="Times New Roman" w:hAnsi="Times New Roman"/>
          <w:b w:val="0"/>
          <w:i w:val="0"/>
          <w:sz w:val="24"/>
        </w:rPr>
        <w:t>These constraints guarantee that the imputed pore structure parameters remain physically interpretable (i.e., micropores are a subset of total pores).</w:t>
      </w:r>
    </w:p>
    <w:p>
      <w:pPr>
        <w:spacing w:before="80" w:after="80"/>
        <w:ind w:left="567"/>
        <w:shd w:val="clear" w:fill="F2F2F2"/>
      </w:pPr>
      <w:r>
        <w:rPr>
          <w:rFonts w:ascii="Consolas" w:hAnsi="Consolas"/>
          <w:sz w:val="18"/>
        </w:rPr>
        <w:t># Physical constraint enforcement (from preprocessing.py)</w:t>
        <w:br/>
        <w:t>neg = X["Vmicro_cm3_g"] &lt; 0           # → 1 record corrected to 0</w:t>
        <w:br/>
        <w:t>violated = X["Vmicro_cm3_g"] &gt; X["Vtotal_cm3_g"]</w:t>
        <w:br/>
        <w:t>X.loc[violated, "Vmicro_cm3_g"] = X.loc[violated, "Vtotal_cm3_g"]  # → 45 records capped</w:t>
      </w:r>
    </w:p>
    <w:p>
      <w:pPr>
        <w:pStyle w:val="Heading3"/>
      </w:pPr>
      <w:r>
        <w:rPr>
          <w:rFonts w:ascii="Times New Roman" w:hAnsi="Times New Roman"/>
          <w:b w:val="0"/>
          <w:i w:val="0"/>
          <w:sz w:val="24"/>
        </w:rPr>
        <w:t>2.2.3 Feature Engineering</w:t>
      </w:r>
    </w:p>
    <w:p>
      <w:r>
        <w:rPr>
          <w:rFonts w:ascii="Times New Roman" w:hAnsi="Times New Roman"/>
          <w:b w:val="0"/>
          <w:i w:val="0"/>
          <w:sz w:val="24"/>
        </w:rPr>
        <w:t xml:space="preserve">Feature engineering was performed by the </w:t>
      </w:r>
      <w:r>
        <w:rPr>
          <w:rFonts w:ascii="Consolas" w:hAnsi="Consolas"/>
          <w:b w:val="0"/>
          <w:i w:val="0"/>
          <w:sz w:val="21"/>
        </w:rPr>
        <w:t>FeatureEngineer</w:t>
      </w:r>
      <w:r>
        <w:rPr>
          <w:rFonts w:ascii="Times New Roman" w:hAnsi="Times New Roman"/>
          <w:b w:val="0"/>
          <w:i w:val="0"/>
          <w:sz w:val="24"/>
        </w:rPr>
        <w:t xml:space="preserve"> transformer, which enriches the dataset through three mechanisms:</w:t>
      </w:r>
    </w:p>
    <w:p>
      <w:r>
        <w:rPr>
          <w:rFonts w:ascii="Times New Roman" w:hAnsi="Times New Roman"/>
          <w:b/>
          <w:i w:val="0"/>
          <w:sz w:val="24"/>
        </w:rPr>
        <w:t>(a) Regular expression parsing of process text columns.</w:t>
      </w:r>
      <w:r>
        <w:rPr>
          <w:rFonts w:ascii="Times New Roman" w:hAnsi="Times New Roman"/>
          <w:b w:val="0"/>
          <w:i w:val="0"/>
          <w:sz w:val="24"/>
        </w:rPr>
        <w:t xml:space="preserve"> Temperature (°C) and duration (h) were extracted from the free-text process descriptions using regular expressions:</w:t>
      </w:r>
    </w:p>
    <w:p>
      <w:pPr>
        <w:pStyle w:val="ListBullet"/>
      </w:pPr>
      <w:r>
        <w:rPr>
          <w:rFonts w:ascii="Times New Roman" w:hAnsi="Times New Roman"/>
          <w:b w:val="0"/>
          <w:i w:val="0"/>
          <w:sz w:val="24"/>
        </w:rPr>
        <w:t>Temperature pattern: `(\d+\.?\d</w:t>
      </w:r>
      <w:r>
        <w:rPr>
          <w:rFonts w:ascii="Times New Roman" w:hAnsi="Times New Roman"/>
          <w:b w:val="0"/>
          <w:i/>
          <w:sz w:val="24"/>
        </w:rPr>
        <w:t>)\s</w:t>
      </w:r>
      <w:r>
        <w:rPr>
          <w:rFonts w:ascii="Times New Roman" w:hAnsi="Times New Roman"/>
          <w:b w:val="0"/>
          <w:i w:val="0"/>
          <w:sz w:val="24"/>
        </w:rPr>
        <w:t>°C`</w:t>
      </w:r>
    </w:p>
    <w:p>
      <w:pPr>
        <w:pStyle w:val="ListBullet"/>
      </w:pPr>
      <w:r>
        <w:rPr>
          <w:rFonts w:ascii="Times New Roman" w:hAnsi="Times New Roman"/>
          <w:b w:val="0"/>
          <w:i w:val="0"/>
          <w:sz w:val="24"/>
        </w:rPr>
        <w:t>Duration pattern: `(\d+\.?\d</w:t>
      </w:r>
      <w:r>
        <w:rPr>
          <w:rFonts w:ascii="Times New Roman" w:hAnsi="Times New Roman"/>
          <w:b w:val="0"/>
          <w:i/>
          <w:sz w:val="24"/>
        </w:rPr>
        <w:t>)\s</w:t>
      </w:r>
      <w:r>
        <w:rPr>
          <w:rFonts w:ascii="Times New Roman" w:hAnsi="Times New Roman"/>
          <w:b w:val="0"/>
          <w:i w:val="0"/>
          <w:sz w:val="24"/>
        </w:rPr>
        <w:t>(h|hour|min)</w:t>
      </w:r>
      <w:r>
        <w:rPr>
          <w:rFonts w:ascii="Consolas" w:hAnsi="Consolas"/>
          <w:b w:val="0"/>
          <w:i w:val="0"/>
          <w:sz w:val="21"/>
        </w:rPr>
        <w:t xml:space="preserve"> (with automatic minute-to-hour conversion for </w:t>
      </w:r>
      <w:r>
        <w:rPr>
          <w:rFonts w:ascii="Times New Roman" w:hAnsi="Times New Roman"/>
          <w:b w:val="0"/>
          <w:i w:val="0"/>
          <w:sz w:val="24"/>
        </w:rPr>
        <w:t>min` units)</w:t>
      </w:r>
    </w:p>
    <w:p>
      <w:r>
        <w:rPr>
          <w:rFonts w:ascii="Times New Roman" w:hAnsi="Times New Roman"/>
          <w:b w:val="0"/>
          <w:i w:val="0"/>
          <w:sz w:val="24"/>
        </w:rPr>
        <w:t xml:space="preserve">This procedure generated </w:t>
      </w:r>
      <w:r>
        <w:rPr>
          <w:rFonts w:ascii="Times New Roman" w:hAnsi="Times New Roman"/>
          <w:b/>
          <w:i w:val="0"/>
          <w:sz w:val="24"/>
        </w:rPr>
        <w:t>8 numerical features</w:t>
      </w:r>
      <w:r>
        <w:rPr>
          <w:rFonts w:ascii="Times New Roman" w:hAnsi="Times New Roman"/>
          <w:b w:val="0"/>
          <w:i w:val="0"/>
          <w:sz w:val="24"/>
        </w:rPr>
        <w:t xml:space="preserve">: </w:t>
      </w:r>
      <w:r>
        <w:rPr>
          <w:rFonts w:ascii="Consolas" w:hAnsi="Consolas"/>
          <w:b w:val="0"/>
          <w:i w:val="0"/>
          <w:sz w:val="21"/>
        </w:rPr>
        <w:t>act1_temp_C</w:t>
      </w:r>
      <w:r>
        <w:rPr>
          <w:rFonts w:ascii="Times New Roman" w:hAnsi="Times New Roman"/>
          <w:b w:val="0"/>
          <w:i w:val="0"/>
          <w:sz w:val="24"/>
        </w:rPr>
        <w:t xml:space="preserve">, </w:t>
      </w:r>
      <w:r>
        <w:rPr>
          <w:rFonts w:ascii="Consolas" w:hAnsi="Consolas"/>
          <w:b w:val="0"/>
          <w:i w:val="0"/>
          <w:sz w:val="21"/>
        </w:rPr>
        <w:t>act1_duration_h</w:t>
      </w:r>
      <w:r>
        <w:rPr>
          <w:rFonts w:ascii="Times New Roman" w:hAnsi="Times New Roman"/>
          <w:b w:val="0"/>
          <w:i w:val="0"/>
          <w:sz w:val="24"/>
        </w:rPr>
        <w:t xml:space="preserve">, </w:t>
      </w:r>
      <w:r>
        <w:rPr>
          <w:rFonts w:ascii="Consolas" w:hAnsi="Consolas"/>
          <w:b w:val="0"/>
          <w:i w:val="0"/>
          <w:sz w:val="21"/>
        </w:rPr>
        <w:t>act2_temp_C</w:t>
      </w:r>
      <w:r>
        <w:rPr>
          <w:rFonts w:ascii="Times New Roman" w:hAnsi="Times New Roman"/>
          <w:b w:val="0"/>
          <w:i w:val="0"/>
          <w:sz w:val="24"/>
        </w:rPr>
        <w:t xml:space="preserve">, </w:t>
      </w:r>
      <w:r>
        <w:rPr>
          <w:rFonts w:ascii="Consolas" w:hAnsi="Consolas"/>
          <w:b w:val="0"/>
          <w:i w:val="0"/>
          <w:sz w:val="21"/>
        </w:rPr>
        <w:t>act2_duration_h</w:t>
      </w:r>
      <w:r>
        <w:rPr>
          <w:rFonts w:ascii="Times New Roman" w:hAnsi="Times New Roman"/>
          <w:b w:val="0"/>
          <w:i w:val="0"/>
          <w:sz w:val="24"/>
        </w:rPr>
        <w:t xml:space="preserve">, </w:t>
      </w:r>
      <w:r>
        <w:rPr>
          <w:rFonts w:ascii="Consolas" w:hAnsi="Consolas"/>
          <w:b w:val="0"/>
          <w:i w:val="0"/>
          <w:sz w:val="21"/>
        </w:rPr>
        <w:t>carb1_temp_C</w:t>
      </w:r>
      <w:r>
        <w:rPr>
          <w:rFonts w:ascii="Times New Roman" w:hAnsi="Times New Roman"/>
          <w:b w:val="0"/>
          <w:i w:val="0"/>
          <w:sz w:val="24"/>
        </w:rPr>
        <w:t xml:space="preserve">, </w:t>
      </w:r>
      <w:r>
        <w:rPr>
          <w:rFonts w:ascii="Consolas" w:hAnsi="Consolas"/>
          <w:b w:val="0"/>
          <w:i w:val="0"/>
          <w:sz w:val="21"/>
        </w:rPr>
        <w:t>carb1_duration_h</w:t>
      </w:r>
      <w:r>
        <w:rPr>
          <w:rFonts w:ascii="Times New Roman" w:hAnsi="Times New Roman"/>
          <w:b w:val="0"/>
          <w:i w:val="0"/>
          <w:sz w:val="24"/>
        </w:rPr>
        <w:t xml:space="preserve">, </w:t>
      </w:r>
      <w:r>
        <w:rPr>
          <w:rFonts w:ascii="Consolas" w:hAnsi="Consolas"/>
          <w:b w:val="0"/>
          <w:i w:val="0"/>
          <w:sz w:val="21"/>
        </w:rPr>
        <w:t>carb2_temp_C</w:t>
      </w:r>
      <w:r>
        <w:rPr>
          <w:rFonts w:ascii="Times New Roman" w:hAnsi="Times New Roman"/>
          <w:b w:val="0"/>
          <w:i w:val="0"/>
          <w:sz w:val="24"/>
        </w:rPr>
        <w:t xml:space="preserve">, </w:t>
      </w:r>
      <w:r>
        <w:rPr>
          <w:rFonts w:ascii="Consolas" w:hAnsi="Consolas"/>
          <w:b w:val="0"/>
          <w:i w:val="0"/>
          <w:sz w:val="21"/>
        </w:rPr>
        <w:t>carb2_duration_h</w:t>
      </w:r>
      <w:r>
        <w:rPr>
          <w:rFonts w:ascii="Times New Roman" w:hAnsi="Times New Roman"/>
          <w:b w:val="0"/>
          <w:i w:val="0"/>
          <w:sz w:val="24"/>
        </w:rPr>
        <w:t xml:space="preserve">. For process steps marked as </w:t>
      </w:r>
      <w:r>
        <w:rPr>
          <w:rFonts w:ascii="Consolas" w:hAnsi="Consolas"/>
          <w:b w:val="0"/>
          <w:i w:val="0"/>
          <w:sz w:val="21"/>
        </w:rPr>
        <w:t>"none"</w:t>
      </w:r>
      <w:r>
        <w:rPr>
          <w:rFonts w:ascii="Times New Roman" w:hAnsi="Times New Roman"/>
          <w:b w:val="0"/>
          <w:i w:val="0"/>
          <w:sz w:val="24"/>
        </w:rPr>
        <w:t xml:space="preserve">, the corresponding parsed values were set to </w:t>
      </w:r>
      <w:r>
        <w:rPr>
          <w:rFonts w:ascii="Consolas" w:hAnsi="Consolas"/>
          <w:b w:val="0"/>
          <w:i w:val="0"/>
          <w:sz w:val="21"/>
        </w:rPr>
        <w:t>NaN</w:t>
      </w:r>
      <w:r>
        <w:rPr>
          <w:rFonts w:ascii="Times New Roman" w:hAnsi="Times New Roman"/>
          <w:b w:val="0"/>
          <w:i w:val="0"/>
          <w:sz w:val="24"/>
        </w:rPr>
        <w:t>.</w:t>
      </w:r>
    </w:p>
    <w:p>
      <w:r>
        <w:rPr>
          <w:rFonts w:ascii="Times New Roman" w:hAnsi="Times New Roman"/>
          <w:b/>
          <w:i w:val="0"/>
          <w:sz w:val="24"/>
        </w:rPr>
        <w:t>(b) Process type classification.</w:t>
      </w:r>
      <w:r>
        <w:rPr>
          <w:rFonts w:ascii="Times New Roman" w:hAnsi="Times New Roman"/>
          <w:b w:val="0"/>
          <w:i w:val="0"/>
          <w:sz w:val="24"/>
        </w:rPr>
        <w:t xml:space="preserve"> Based on keyword matching, each process column was classified into a small number of semantically meaningful categories:</w:t>
      </w:r>
    </w:p>
    <w:p>
      <w:pPr>
        <w:pStyle w:val="ListBullet"/>
      </w:pPr>
      <w:r>
        <w:rPr>
          <w:rFonts w:ascii="Consolas" w:hAnsi="Consolas"/>
          <w:b w:val="0"/>
          <w:i w:val="0"/>
          <w:sz w:val="21"/>
        </w:rPr>
        <w:t>act1_type</w:t>
      </w:r>
      <w:r>
        <w:rPr>
          <w:rFonts w:ascii="Times New Roman" w:hAnsi="Times New Roman"/>
          <w:b w:val="0"/>
          <w:i w:val="0"/>
          <w:sz w:val="24"/>
        </w:rPr>
        <w:t>: steam, KOH, hydrothermal, none</w:t>
      </w:r>
    </w:p>
    <w:p>
      <w:pPr>
        <w:pStyle w:val="ListBullet"/>
      </w:pPr>
      <w:r>
        <w:rPr>
          <w:rFonts w:ascii="Consolas" w:hAnsi="Consolas"/>
          <w:b w:val="0"/>
          <w:i w:val="0"/>
          <w:sz w:val="21"/>
        </w:rPr>
        <w:t>act2_type</w:t>
      </w:r>
      <w:r>
        <w:rPr>
          <w:rFonts w:ascii="Times New Roman" w:hAnsi="Times New Roman"/>
          <w:b w:val="0"/>
          <w:i w:val="0"/>
          <w:sz w:val="24"/>
        </w:rPr>
        <w:t>: H₃PO₄, none</w:t>
      </w:r>
    </w:p>
    <w:p>
      <w:pPr>
        <w:pStyle w:val="ListBullet"/>
      </w:pPr>
      <w:r>
        <w:rPr>
          <w:rFonts w:ascii="Consolas" w:hAnsi="Consolas"/>
          <w:b w:val="0"/>
          <w:i w:val="0"/>
          <w:sz w:val="21"/>
        </w:rPr>
        <w:t>carb1_type</w:t>
      </w:r>
      <w:r>
        <w:rPr>
          <w:rFonts w:ascii="Times New Roman" w:hAnsi="Times New Roman"/>
          <w:b w:val="0"/>
          <w:i w:val="0"/>
          <w:sz w:val="24"/>
        </w:rPr>
        <w:t>: conventional, microwave, fast_pyrolysis, none</w:t>
      </w:r>
    </w:p>
    <w:p>
      <w:pPr>
        <w:pStyle w:val="ListBullet"/>
      </w:pPr>
      <w:r>
        <w:rPr>
          <w:rFonts w:ascii="Consolas" w:hAnsi="Consolas"/>
          <w:b w:val="0"/>
          <w:i w:val="0"/>
          <w:sz w:val="21"/>
        </w:rPr>
        <w:t>carb2_type</w:t>
      </w:r>
      <w:r>
        <w:rPr>
          <w:rFonts w:ascii="Times New Roman" w:hAnsi="Times New Roman"/>
          <w:b w:val="0"/>
          <w:i w:val="0"/>
          <w:sz w:val="24"/>
        </w:rPr>
        <w:t>: 500°C_15min, 600°C_2h, none</w:t>
      </w:r>
    </w:p>
    <w:p>
      <w:pPr>
        <w:pStyle w:val="ListBullet"/>
      </w:pPr>
      <w:r>
        <w:rPr>
          <w:rFonts w:ascii="Consolas" w:hAnsi="Consolas"/>
          <w:b w:val="0"/>
          <w:i w:val="0"/>
          <w:sz w:val="21"/>
        </w:rPr>
        <w:t>post_treatment_type</w:t>
      </w:r>
      <w:r>
        <w:rPr>
          <w:rFonts w:ascii="Times New Roman" w:hAnsi="Times New Roman"/>
          <w:b w:val="0"/>
          <w:i w:val="0"/>
          <w:sz w:val="24"/>
        </w:rPr>
        <w:t>: none, without_rinsing, with_rinsing, sonication</w:t>
      </w:r>
    </w:p>
    <w:p>
      <w:r>
        <w:rPr>
          <w:rFonts w:ascii="Times New Roman" w:hAnsi="Times New Roman"/>
          <w:b w:val="0"/>
          <w:i w:val="0"/>
          <w:sz w:val="24"/>
        </w:rPr>
        <w:t xml:space="preserve">This yielded </w:t>
      </w:r>
      <w:r>
        <w:rPr>
          <w:rFonts w:ascii="Times New Roman" w:hAnsi="Times New Roman"/>
          <w:b/>
          <w:i w:val="0"/>
          <w:sz w:val="24"/>
        </w:rPr>
        <w:t>5 categorical features</w:t>
      </w:r>
      <w:r>
        <w:rPr>
          <w:rFonts w:ascii="Times New Roman" w:hAnsi="Times New Roman"/>
          <w:b w:val="0"/>
          <w:i w:val="0"/>
          <w:sz w:val="24"/>
        </w:rPr>
        <w:t xml:space="preserve"> that encode the qualitative nature of each synthesis step.</w:t>
      </w:r>
    </w:p>
    <w:p>
      <w:r>
        <w:rPr>
          <w:rFonts w:ascii="Times New Roman" w:hAnsi="Times New Roman"/>
          <w:b/>
          <w:i w:val="0"/>
          <w:sz w:val="24"/>
        </w:rPr>
        <w:t>(c) Domain-informed composite features.</w:t>
      </w:r>
      <w:r>
        <w:rPr>
          <w:rFonts w:ascii="Times New Roman" w:hAnsi="Times New Roman"/>
          <w:b w:val="0"/>
          <w:i w:val="0"/>
          <w:sz w:val="24"/>
        </w:rPr>
        <w:t xml:space="preserve"> Five composite variables were constructed based on materials science and adsorption thermodynamics principles: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rPr>
            </w:r>
            <w:r>
              <w:rPr>
                <w:rFonts w:ascii="Times New Roman" w:hAnsi="Times New Roman"/>
                <w:b/>
                <w:sz w:val="20"/>
              </w:rPr>
              <w:t>Composite Feature</w:t>
            </w:r>
          </w:p>
        </w:tc>
        <w:tc>
          <w:tcPr>
            <w:tcW w:type="dxa" w:w="3120"/>
            <w:shd w:fill="D9E2F3"/>
          </w:tcPr>
          <w:p>
            <w:pPr>
              <w:spacing w:before="20" w:after="20"/>
              <w:jc w:val="center"/>
            </w:pPr>
            <w:r>
              <w:rPr>
                <w:rFonts w:ascii="Times New Roman" w:hAnsi="Times New Roman"/>
              </w:rPr>
            </w:r>
            <w:r>
              <w:rPr>
                <w:rFonts w:ascii="Times New Roman" w:hAnsi="Times New Roman"/>
                <w:b/>
                <w:sz w:val="20"/>
              </w:rPr>
              <w:t>Formula</w:t>
            </w:r>
          </w:p>
        </w:tc>
        <w:tc>
          <w:tcPr>
            <w:tcW w:type="dxa" w:w="3120"/>
            <w:shd w:fill="D9E2F3"/>
          </w:tcPr>
          <w:p>
            <w:pPr>
              <w:spacing w:before="20" w:after="20"/>
              <w:jc w:val="center"/>
            </w:pPr>
            <w:r>
              <w:rPr>
                <w:rFonts w:ascii="Times New Roman" w:hAnsi="Times New Roman"/>
              </w:rPr>
            </w:r>
            <w:r>
              <w:rPr>
                <w:rFonts w:ascii="Times New Roman" w:hAnsi="Times New Roman"/>
                <w:b/>
                <w:sz w:val="20"/>
              </w:rPr>
              <w:t>Physical Rationale</w:t>
            </w:r>
          </w:p>
        </w:tc>
      </w:tr>
      <w:tr>
        <w:tc>
          <w:tcPr>
            <w:tcW w:type="dxa" w:w="3120"/>
          </w:tcPr>
          <w:p>
            <w:pPr>
              <w:spacing w:before="20" w:after="20"/>
            </w:pPr>
            <w:r>
              <w:rPr>
                <w:rFonts w:ascii="Times New Roman" w:hAnsi="Times New Roman"/>
              </w:rPr>
            </w:r>
            <w:r>
              <w:rPr>
                <w:rFonts w:ascii="Times New Roman" w:hAnsi="Times New Roman"/>
                <w:sz w:val="19"/>
              </w:rPr>
              <w:t>`Vmeso_cm3_g`</w:t>
            </w:r>
          </w:p>
        </w:tc>
        <w:tc>
          <w:tcPr>
            <w:tcW w:type="dxa" w:w="3120"/>
          </w:tcPr>
          <w:p>
            <w:pPr>
              <w:spacing w:before="20" w:after="20"/>
            </w:pPr>
            <w:r>
              <w:rPr>
                <w:rFonts w:ascii="Times New Roman" w:hAnsi="Times New Roman"/>
              </w:rPr>
            </w:r>
            <w:r>
              <w:rPr>
                <w:rFonts w:ascii="Times New Roman" w:hAnsi="Times New Roman"/>
                <w:sz w:val="19"/>
              </w:rPr>
              <w:t>Vtotal − Vmicro</w:t>
            </w:r>
          </w:p>
        </w:tc>
        <w:tc>
          <w:tcPr>
            <w:tcW w:type="dxa" w:w="3120"/>
          </w:tcPr>
          <w:p>
            <w:pPr>
              <w:spacing w:before="20" w:after="20"/>
            </w:pPr>
            <w:r>
              <w:rPr>
                <w:rFonts w:ascii="Times New Roman" w:hAnsi="Times New Roman"/>
              </w:rPr>
            </w:r>
            <w:r>
              <w:rPr>
                <w:rFonts w:ascii="Times New Roman" w:hAnsi="Times New Roman"/>
                <w:sz w:val="19"/>
              </w:rPr>
              <w:t>Isolates the mesopore contribution to total porosity</w:t>
            </w:r>
          </w:p>
        </w:tc>
      </w:tr>
      <w:tr>
        <w:tc>
          <w:tcPr>
            <w:tcW w:type="dxa" w:w="3120"/>
          </w:tcPr>
          <w:p>
            <w:pPr>
              <w:spacing w:before="20" w:after="20"/>
            </w:pPr>
            <w:r>
              <w:rPr>
                <w:rFonts w:ascii="Times New Roman" w:hAnsi="Times New Roman"/>
              </w:rPr>
            </w:r>
            <w:r>
              <w:rPr>
                <w:rFonts w:ascii="Times New Roman" w:hAnsi="Times New Roman"/>
                <w:sz w:val="19"/>
              </w:rPr>
              <w:t>`microporosity`</w:t>
            </w:r>
          </w:p>
        </w:tc>
        <w:tc>
          <w:tcPr>
            <w:tcW w:type="dxa" w:w="3120"/>
          </w:tcPr>
          <w:p>
            <w:pPr>
              <w:spacing w:before="20" w:after="20"/>
            </w:pPr>
            <w:r>
              <w:rPr>
                <w:rFonts w:ascii="Times New Roman" w:hAnsi="Times New Roman"/>
              </w:rPr>
            </w:r>
            <w:r>
              <w:rPr>
                <w:rFonts w:ascii="Times New Roman" w:hAnsi="Times New Roman"/>
                <w:sz w:val="19"/>
              </w:rPr>
              <w:t>Vmicro / Vtotal</w:t>
            </w:r>
          </w:p>
        </w:tc>
        <w:tc>
          <w:tcPr>
            <w:tcW w:type="dxa" w:w="3120"/>
          </w:tcPr>
          <w:p>
            <w:pPr>
              <w:spacing w:before="20" w:after="20"/>
            </w:pPr>
            <w:r>
              <w:rPr>
                <w:rFonts w:ascii="Times New Roman" w:hAnsi="Times New Roman"/>
              </w:rPr>
            </w:r>
            <w:r>
              <w:rPr>
                <w:rFonts w:ascii="Times New Roman" w:hAnsi="Times New Roman"/>
                <w:sz w:val="19"/>
              </w:rPr>
              <w:t>Quantifies the fraction of micropores, a key determinant of CO₂ adsorption capacity at low relative pressures</w:t>
            </w:r>
          </w:p>
        </w:tc>
      </w:tr>
      <w:tr>
        <w:tc>
          <w:tcPr>
            <w:tcW w:type="dxa" w:w="3120"/>
          </w:tcPr>
          <w:p>
            <w:pPr>
              <w:spacing w:before="20" w:after="20"/>
            </w:pPr>
            <w:r>
              <w:rPr>
                <w:rFonts w:ascii="Times New Roman" w:hAnsi="Times New Roman"/>
              </w:rPr>
            </w:r>
            <w:r>
              <w:rPr>
                <w:rFonts w:ascii="Times New Roman" w:hAnsi="Times New Roman"/>
                <w:sz w:val="19"/>
              </w:rPr>
              <w:t>`MgO_surface_density`</w:t>
            </w:r>
          </w:p>
        </w:tc>
        <w:tc>
          <w:tcPr>
            <w:tcW w:type="dxa" w:w="3120"/>
          </w:tcPr>
          <w:p>
            <w:pPr>
              <w:spacing w:before="20" w:after="20"/>
            </w:pPr>
            <w:r>
              <w:rPr>
                <w:rFonts w:ascii="Times New Roman" w:hAnsi="Times New Roman"/>
              </w:rPr>
            </w:r>
            <w:r>
              <w:rPr>
                <w:rFonts w:ascii="Times New Roman" w:hAnsi="Times New Roman"/>
                <w:sz w:val="19"/>
              </w:rPr>
              <w:t>MgO_mass_ratio / (SBET / 1000)</w:t>
            </w:r>
          </w:p>
        </w:tc>
        <w:tc>
          <w:tcPr>
            <w:tcW w:type="dxa" w:w="3120"/>
          </w:tcPr>
          <w:p>
            <w:pPr>
              <w:spacing w:before="20" w:after="20"/>
            </w:pPr>
            <w:r>
              <w:rPr>
                <w:rFonts w:ascii="Times New Roman" w:hAnsi="Times New Roman"/>
              </w:rPr>
            </w:r>
            <w:r>
              <w:rPr>
                <w:rFonts w:ascii="Times New Roman" w:hAnsi="Times New Roman"/>
                <w:sz w:val="19"/>
              </w:rPr>
              <w:t>Normalizes the MgO loading by the available surface area, reflecting the dispersion of active sites</w:t>
            </w:r>
          </w:p>
        </w:tc>
      </w:tr>
      <w:tr>
        <w:tc>
          <w:tcPr>
            <w:tcW w:type="dxa" w:w="3120"/>
          </w:tcPr>
          <w:p>
            <w:pPr>
              <w:spacing w:before="20" w:after="20"/>
            </w:pPr>
            <w:r>
              <w:rPr>
                <w:rFonts w:ascii="Times New Roman" w:hAnsi="Times New Roman"/>
              </w:rPr>
            </w:r>
            <w:r>
              <w:rPr>
                <w:rFonts w:ascii="Times New Roman" w:hAnsi="Times New Roman"/>
                <w:sz w:val="19"/>
              </w:rPr>
              <w:t>`T_lnP`</w:t>
            </w:r>
          </w:p>
        </w:tc>
        <w:tc>
          <w:tcPr>
            <w:tcW w:type="dxa" w:w="3120"/>
          </w:tcPr>
          <w:p>
            <w:pPr>
              <w:spacing w:before="20" w:after="20"/>
            </w:pPr>
            <w:r>
              <w:rPr>
                <w:rFonts w:ascii="Times New Roman" w:hAnsi="Times New Roman"/>
              </w:rPr>
            </w:r>
            <w:r>
              <w:rPr>
                <w:rFonts w:ascii="Times New Roman" w:hAnsi="Times New Roman"/>
                <w:sz w:val="19"/>
              </w:rPr>
              <w:t>T × ln(P + 0.01)</w:t>
            </w:r>
          </w:p>
        </w:tc>
        <w:tc>
          <w:tcPr>
            <w:tcW w:type="dxa" w:w="3120"/>
          </w:tcPr>
          <w:p>
            <w:pPr>
              <w:spacing w:before="20" w:after="20"/>
            </w:pPr>
            <w:r>
              <w:rPr>
                <w:rFonts w:ascii="Times New Roman" w:hAnsi="Times New Roman"/>
              </w:rPr>
            </w:r>
            <w:r>
              <w:rPr>
                <w:rFonts w:ascii="Times New Roman" w:hAnsi="Times New Roman"/>
                <w:sz w:val="19"/>
              </w:rPr>
              <w:t>Couples temperature and pressure into a single thermodynamic driving-force term</w:t>
            </w:r>
          </w:p>
        </w:tc>
      </w:tr>
      <w:tr>
        <w:tc>
          <w:tcPr>
            <w:tcW w:type="dxa" w:w="3120"/>
          </w:tcPr>
          <w:p>
            <w:pPr>
              <w:spacing w:before="20" w:after="20"/>
            </w:pPr>
            <w:r>
              <w:rPr>
                <w:rFonts w:ascii="Times New Roman" w:hAnsi="Times New Roman"/>
              </w:rPr>
            </w:r>
            <w:r>
              <w:rPr>
                <w:rFonts w:ascii="Times New Roman" w:hAnsi="Times New Roman"/>
                <w:sz w:val="19"/>
              </w:rPr>
              <w:t>`inv_T_K`</w:t>
            </w:r>
          </w:p>
        </w:tc>
        <w:tc>
          <w:tcPr>
            <w:tcW w:type="dxa" w:w="3120"/>
          </w:tcPr>
          <w:p>
            <w:pPr>
              <w:spacing w:before="20" w:after="20"/>
            </w:pPr>
            <w:r>
              <w:rPr>
                <w:rFonts w:ascii="Times New Roman" w:hAnsi="Times New Roman"/>
              </w:rPr>
            </w:r>
            <w:r>
              <w:rPr>
                <w:rFonts w:ascii="Times New Roman" w:hAnsi="Times New Roman"/>
                <w:sz w:val="19"/>
              </w:rPr>
              <w:t>1 / (T + 273.15)</w:t>
            </w:r>
          </w:p>
        </w:tc>
        <w:tc>
          <w:tcPr>
            <w:tcW w:type="dxa" w:w="3120"/>
          </w:tcPr>
          <w:p>
            <w:pPr>
              <w:spacing w:before="20" w:after="20"/>
            </w:pPr>
            <w:r>
              <w:rPr>
                <w:rFonts w:ascii="Times New Roman" w:hAnsi="Times New Roman"/>
              </w:rPr>
            </w:r>
            <w:r>
              <w:rPr>
                <w:rFonts w:ascii="Times New Roman" w:hAnsi="Times New Roman"/>
                <w:sz w:val="19"/>
              </w:rPr>
              <w:t>Converts Celsius temperature to reciprocal Kelvin, consistent with the Arrhenius and van't Hoff formalisms</w:t>
            </w:r>
          </w:p>
        </w:tc>
      </w:tr>
    </w:tbl>
    <w:p/>
    <w:p>
      <w:r>
        <w:rPr>
          <w:rFonts w:ascii="Times New Roman" w:hAnsi="Times New Roman"/>
          <w:b w:val="0"/>
          <w:i w:val="0"/>
          <w:sz w:val="24"/>
        </w:rPr>
        <w:t xml:space="preserve">After feature engineering, the original five free-text process columns were discarded, as all extractable information had been captured in the structured derived features. The resulting dataset contains </w:t>
      </w:r>
      <w:r>
        <w:rPr>
          <w:rFonts w:ascii="Times New Roman" w:hAnsi="Times New Roman"/>
          <w:b/>
          <w:i w:val="0"/>
          <w:sz w:val="24"/>
        </w:rPr>
        <w:t>27 features</w:t>
      </w:r>
      <w:r>
        <w:rPr>
          <w:rFonts w:ascii="Times New Roman" w:hAnsi="Times New Roman"/>
          <w:b w:val="0"/>
          <w:i w:val="0"/>
          <w:sz w:val="24"/>
        </w:rPr>
        <w:t xml:space="preserve"> (8 categorical + 19 numerical) and 1 target variable, with 341 observations (</w:t>
      </w:r>
      <w:r>
        <w:rPr>
          <w:rFonts w:ascii="Times New Roman" w:hAnsi="Times New Roman"/>
          <w:b/>
          <w:i w:val="0"/>
          <w:sz w:val="24"/>
        </w:rPr>
        <w:t>Figure 2</w:t>
      </w:r>
      <w:r>
        <w:rPr>
          <w:rFonts w:ascii="Times New Roman" w:hAnsi="Times New Roman"/>
          <w:b w:val="0"/>
          <w:i w:val="0"/>
          <w:sz w:val="24"/>
        </w:rPr>
        <w:t xml:space="preserve">; </w:t>
      </w:r>
      <w:r>
        <w:rPr>
          <w:rFonts w:ascii="Times New Roman" w:hAnsi="Times New Roman"/>
          <w:b/>
          <w:i w:val="0"/>
          <w:sz w:val="24"/>
        </w:rPr>
        <w:t>Figure 1</w:t>
      </w:r>
      <w:r>
        <w:rPr>
          <w:rFonts w:ascii="Times New Roman" w:hAnsi="Times New Roman"/>
          <w:b w:val="0"/>
          <w:i w:val="0"/>
          <w:sz w:val="24"/>
        </w:rPr>
        <w:t>).</w:t>
      </w:r>
    </w:p>
    <w:p>
      <w:pPr>
        <w:pStyle w:val="Heading3"/>
      </w:pPr>
      <w:r>
        <w:rPr>
          <w:rFonts w:ascii="Times New Roman" w:hAnsi="Times New Roman"/>
          <w:b w:val="0"/>
          <w:i w:val="0"/>
          <w:sz w:val="24"/>
        </w:rPr>
        <w:t>2.2.4 Categorical Encoding and Numerical Scaling</w:t>
      </w:r>
    </w:p>
    <w:p>
      <w:r>
        <w:rPr>
          <w:rFonts w:ascii="Times New Roman" w:hAnsi="Times New Roman"/>
          <w:b w:val="0"/>
          <w:i w:val="0"/>
          <w:sz w:val="24"/>
        </w:rPr>
        <w:t xml:space="preserve">Four distinct preprocessing pipelines were constructed to accommodate the specific requirements of different model families. Critically, the </w:t>
      </w:r>
      <w:r>
        <w:rPr>
          <w:rFonts w:ascii="Consolas" w:hAnsi="Consolas"/>
          <w:b w:val="0"/>
          <w:i w:val="0"/>
          <w:sz w:val="21"/>
        </w:rPr>
        <w:t>MissingValueImputer</w:t>
      </w:r>
      <w:r>
        <w:rPr>
          <w:rFonts w:ascii="Times New Roman" w:hAnsi="Times New Roman"/>
          <w:b w:val="0"/>
          <w:i w:val="0"/>
          <w:sz w:val="24"/>
        </w:rPr>
        <w:t xml:space="preserve"> and </w:t>
      </w:r>
      <w:r>
        <w:rPr>
          <w:rFonts w:ascii="Consolas" w:hAnsi="Consolas"/>
          <w:b w:val="0"/>
          <w:i w:val="0"/>
          <w:sz w:val="21"/>
        </w:rPr>
        <w:t>FeatureEngineer</w:t>
      </w:r>
      <w:r>
        <w:rPr>
          <w:rFonts w:ascii="Times New Roman" w:hAnsi="Times New Roman"/>
          <w:b w:val="0"/>
          <w:i w:val="0"/>
          <w:sz w:val="24"/>
        </w:rPr>
        <w:t xml:space="preserve"> transformers are embedded </w:t>
      </w:r>
      <w:r>
        <w:rPr>
          <w:rFonts w:ascii="Times New Roman" w:hAnsi="Times New Roman"/>
          <w:b/>
          <w:i w:val="0"/>
          <w:sz w:val="24"/>
        </w:rPr>
        <w:t>within each pipeline</w:t>
      </w:r>
      <w:r>
        <w:rPr>
          <w:rFonts w:ascii="Times New Roman" w:hAnsi="Times New Roman"/>
          <w:b w:val="0"/>
          <w:i w:val="0"/>
          <w:sz w:val="24"/>
        </w:rPr>
        <w:t xml:space="preserve"> (rather than being applied globally before splitting), ensuring that all imputation and feature construction operations are fit exclusively on the training portion of each cross-validation fold, thereby eliminating any risk of data leakage.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before="20" w:after="20"/>
              <w:jc w:val="center"/>
            </w:pPr>
            <w:r>
              <w:rPr>
                <w:rFonts w:ascii="Times New Roman" w:hAnsi="Times New Roman"/>
              </w:rPr>
            </w:r>
            <w:r>
              <w:rPr>
                <w:rFonts w:ascii="Times New Roman" w:hAnsi="Times New Roman"/>
                <w:b/>
                <w:sz w:val="20"/>
              </w:rPr>
              <w:t>Pipeline</w:t>
            </w:r>
          </w:p>
        </w:tc>
        <w:tc>
          <w:tcPr>
            <w:tcW w:type="dxa" w:w="1560"/>
            <w:shd w:fill="D9E2F3"/>
          </w:tcPr>
          <w:p>
            <w:pPr>
              <w:spacing w:before="20" w:after="20"/>
              <w:jc w:val="center"/>
            </w:pPr>
            <w:r>
              <w:rPr>
                <w:rFonts w:ascii="Times New Roman" w:hAnsi="Times New Roman"/>
              </w:rPr>
            </w:r>
            <w:r>
              <w:rPr>
                <w:rFonts w:ascii="Times New Roman" w:hAnsi="Times New Roman"/>
                <w:b/>
                <w:sz w:val="20"/>
              </w:rPr>
              <w:t>Target Models</w:t>
            </w:r>
          </w:p>
        </w:tc>
        <w:tc>
          <w:tcPr>
            <w:tcW w:type="dxa" w:w="1560"/>
            <w:shd w:fill="D9E2F3"/>
          </w:tcPr>
          <w:p>
            <w:pPr>
              <w:spacing w:before="20" w:after="20"/>
              <w:jc w:val="center"/>
            </w:pPr>
            <w:r>
              <w:rPr>
                <w:rFonts w:ascii="Times New Roman" w:hAnsi="Times New Roman"/>
              </w:rPr>
            </w:r>
            <w:r>
              <w:rPr>
                <w:rFonts w:ascii="Times New Roman" w:hAnsi="Times New Roman"/>
                <w:b/>
                <w:sz w:val="20"/>
              </w:rPr>
              <w:t>Categorical Encoding</w:t>
            </w:r>
          </w:p>
        </w:tc>
        <w:tc>
          <w:tcPr>
            <w:tcW w:type="dxa" w:w="1560"/>
            <w:shd w:fill="D9E2F3"/>
          </w:tcPr>
          <w:p>
            <w:pPr>
              <w:spacing w:before="20" w:after="20"/>
              <w:jc w:val="center"/>
            </w:pPr>
            <w:r>
              <w:rPr>
                <w:rFonts w:ascii="Times New Roman" w:hAnsi="Times New Roman"/>
              </w:rPr>
            </w:r>
            <w:r>
              <w:rPr>
                <w:rFonts w:ascii="Times New Roman" w:hAnsi="Times New Roman"/>
                <w:b/>
                <w:sz w:val="20"/>
              </w:rPr>
              <w:t>Numerical Scaling</w:t>
            </w:r>
          </w:p>
        </w:tc>
        <w:tc>
          <w:tcPr>
            <w:tcW w:type="dxa" w:w="1560"/>
            <w:shd w:fill="D9E2F3"/>
          </w:tcPr>
          <w:p>
            <w:pPr>
              <w:spacing w:before="20" w:after="20"/>
              <w:jc w:val="center"/>
            </w:pPr>
            <w:r>
              <w:rPr>
                <w:rFonts w:ascii="Times New Roman" w:hAnsi="Times New Roman"/>
              </w:rPr>
            </w:r>
            <w:r>
              <w:rPr>
                <w:rFonts w:ascii="Times New Roman" w:hAnsi="Times New Roman"/>
                <w:b/>
                <w:sz w:val="20"/>
              </w:rPr>
              <w:t>Target Transform</w:t>
            </w:r>
          </w:p>
        </w:tc>
        <w:tc>
          <w:tcPr>
            <w:tcW w:type="dxa" w:w="1560"/>
            <w:shd w:fill="D9E2F3"/>
          </w:tcPr>
          <w:p>
            <w:pPr>
              <w:spacing w:before="20" w:after="20"/>
              <w:jc w:val="center"/>
            </w:pPr>
            <w:r>
              <w:rPr>
                <w:rFonts w:ascii="Times New Roman" w:hAnsi="Times New Roman"/>
              </w:rPr>
            </w:r>
            <w:r>
              <w:rPr>
                <w:rFonts w:ascii="Times New Roman" w:hAnsi="Times New Roman"/>
                <w:b/>
                <w:sz w:val="20"/>
              </w:rPr>
              <w:t>NaN Handling</w:t>
            </w:r>
          </w:p>
        </w:tc>
      </w:tr>
      <w:tr>
        <w:tc>
          <w:tcPr>
            <w:tcW w:type="dxa" w:w="1560"/>
          </w:tcPr>
          <w:p>
            <w:pPr>
              <w:spacing w:before="20" w:after="20"/>
            </w:pPr>
            <w:r>
              <w:rPr>
                <w:rFonts w:ascii="Times New Roman" w:hAnsi="Times New Roman"/>
              </w:rPr>
            </w:r>
            <w:r>
              <w:rPr>
                <w:rFonts w:ascii="Times New Roman" w:hAnsi="Times New Roman"/>
                <w:sz w:val="19"/>
              </w:rPr>
              <w:t>**A**</w:t>
            </w:r>
          </w:p>
        </w:tc>
        <w:tc>
          <w:tcPr>
            <w:tcW w:type="dxa" w:w="1560"/>
          </w:tcPr>
          <w:p>
            <w:pPr>
              <w:spacing w:before="20" w:after="20"/>
            </w:pPr>
            <w:r>
              <w:rPr>
                <w:rFonts w:ascii="Times New Roman" w:hAnsi="Times New Roman"/>
              </w:rPr>
            </w:r>
            <w:r>
              <w:rPr>
                <w:rFonts w:ascii="Times New Roman" w:hAnsi="Times New Roman"/>
                <w:sz w:val="19"/>
              </w:rPr>
              <w:t>Ridge, Lasso</w:t>
            </w:r>
          </w:p>
        </w:tc>
        <w:tc>
          <w:tcPr>
            <w:tcW w:type="dxa" w:w="1560"/>
          </w:tcPr>
          <w:p>
            <w:pPr>
              <w:spacing w:before="20" w:after="20"/>
            </w:pPr>
            <w:r>
              <w:rPr>
                <w:rFonts w:ascii="Times New Roman" w:hAnsi="Times New Roman"/>
              </w:rPr>
            </w:r>
            <w:r>
              <w:rPr>
                <w:rFonts w:ascii="Times New Roman" w:hAnsi="Times New Roman"/>
                <w:sz w:val="19"/>
              </w:rPr>
              <w:t>OneHotEncoder (sparse=False, handle_unknown='ignore')</w:t>
            </w:r>
          </w:p>
        </w:tc>
        <w:tc>
          <w:tcPr>
            <w:tcW w:type="dxa" w:w="1560"/>
          </w:tcPr>
          <w:p>
            <w:pPr>
              <w:spacing w:before="20" w:after="20"/>
            </w:pPr>
            <w:r>
              <w:rPr>
                <w:rFonts w:ascii="Times New Roman" w:hAnsi="Times New Roman"/>
              </w:rPr>
            </w:r>
            <w:r>
              <w:rPr>
                <w:rFonts w:ascii="Times New Roman" w:hAnsi="Times New Roman"/>
                <w:sz w:val="19"/>
              </w:rPr>
              <w:t>StandardScaler (Z-score)</w:t>
            </w:r>
          </w:p>
        </w:tc>
        <w:tc>
          <w:tcPr>
            <w:tcW w:type="dxa" w:w="1560"/>
          </w:tcPr>
          <w:p>
            <w:pPr>
              <w:spacing w:before="20" w:after="20"/>
            </w:pPr>
            <w:r>
              <w:rPr>
                <w:rFonts w:ascii="Times New Roman" w:hAnsi="Times New Roman"/>
              </w:rPr>
            </w:r>
            <w:r>
              <w:rPr>
                <w:rFonts w:ascii="Times New Roman" w:hAnsi="Times New Roman"/>
                <w:sz w:val="19"/>
              </w:rPr>
              <w:t>None</w:t>
            </w:r>
          </w:p>
        </w:tc>
        <w:tc>
          <w:tcPr>
            <w:tcW w:type="dxa" w:w="1560"/>
          </w:tcPr>
          <w:p>
            <w:pPr>
              <w:spacing w:before="20" w:after="20"/>
            </w:pPr>
            <w:r>
              <w:rPr>
                <w:rFonts w:ascii="Times New Roman" w:hAnsi="Times New Roman"/>
              </w:rPr>
            </w:r>
            <w:r>
              <w:rPr>
                <w:rFonts w:ascii="Times New Roman" w:hAnsi="Times New Roman"/>
                <w:sz w:val="19"/>
              </w:rPr>
              <w:t>SimpleImputer (median)</w:t>
            </w:r>
          </w:p>
        </w:tc>
      </w:tr>
      <w:tr>
        <w:tc>
          <w:tcPr>
            <w:tcW w:type="dxa" w:w="1560"/>
          </w:tcPr>
          <w:p>
            <w:pPr>
              <w:spacing w:before="20" w:after="20"/>
            </w:pPr>
            <w:r>
              <w:rPr>
                <w:rFonts w:ascii="Times New Roman" w:hAnsi="Times New Roman"/>
              </w:rPr>
            </w:r>
            <w:r>
              <w:rPr>
                <w:rFonts w:ascii="Times New Roman" w:hAnsi="Times New Roman"/>
                <w:sz w:val="19"/>
              </w:rPr>
              <w:t>**B**</w:t>
            </w:r>
          </w:p>
        </w:tc>
        <w:tc>
          <w:tcPr>
            <w:tcW w:type="dxa" w:w="1560"/>
          </w:tcPr>
          <w:p>
            <w:pPr>
              <w:spacing w:before="20" w:after="20"/>
            </w:pPr>
            <w:r>
              <w:rPr>
                <w:rFonts w:ascii="Times New Roman" w:hAnsi="Times New Roman"/>
              </w:rPr>
            </w:r>
            <w:r>
              <w:rPr>
                <w:rFonts w:ascii="Times New Roman" w:hAnsi="Times New Roman"/>
                <w:sz w:val="19"/>
              </w:rPr>
              <w:t>RF, XGBoost, LightGBM, GBDT</w:t>
            </w:r>
          </w:p>
        </w:tc>
        <w:tc>
          <w:tcPr>
            <w:tcW w:type="dxa" w:w="1560"/>
          </w:tcPr>
          <w:p>
            <w:pPr>
              <w:spacing w:before="20" w:after="20"/>
            </w:pPr>
            <w:r>
              <w:rPr>
                <w:rFonts w:ascii="Times New Roman" w:hAnsi="Times New Roman"/>
              </w:rPr>
            </w:r>
            <w:r>
              <w:rPr>
                <w:rFonts w:ascii="Times New Roman" w:hAnsi="Times New Roman"/>
                <w:sz w:val="19"/>
              </w:rPr>
              <w:t>OrdinalEncoder (unknown_value=−1)</w:t>
            </w:r>
          </w:p>
        </w:tc>
        <w:tc>
          <w:tcPr>
            <w:tcW w:type="dxa" w:w="1560"/>
          </w:tcPr>
          <w:p>
            <w:pPr>
              <w:spacing w:before="20" w:after="20"/>
            </w:pPr>
            <w:r>
              <w:rPr>
                <w:rFonts w:ascii="Times New Roman" w:hAnsi="Times New Roman"/>
              </w:rPr>
            </w:r>
            <w:r>
              <w:rPr>
                <w:rFonts w:ascii="Times New Roman" w:hAnsi="Times New Roman"/>
                <w:sz w:val="19"/>
              </w:rPr>
              <w:t>None (tree-native)</w:t>
            </w:r>
          </w:p>
        </w:tc>
        <w:tc>
          <w:tcPr>
            <w:tcW w:type="dxa" w:w="1560"/>
          </w:tcPr>
          <w:p>
            <w:pPr>
              <w:spacing w:before="20" w:after="20"/>
            </w:pPr>
            <w:r>
              <w:rPr>
                <w:rFonts w:ascii="Times New Roman" w:hAnsi="Times New Roman"/>
              </w:rPr>
            </w:r>
            <w:r>
              <w:rPr>
                <w:rFonts w:ascii="Times New Roman" w:hAnsi="Times New Roman"/>
                <w:sz w:val="19"/>
              </w:rPr>
              <w:t>None</w:t>
            </w:r>
          </w:p>
        </w:tc>
        <w:tc>
          <w:tcPr>
            <w:tcW w:type="dxa" w:w="1560"/>
          </w:tcPr>
          <w:p>
            <w:pPr>
              <w:spacing w:before="20" w:after="20"/>
            </w:pPr>
            <w:r>
              <w:rPr>
                <w:rFonts w:ascii="Times New Roman" w:hAnsi="Times New Roman"/>
              </w:rPr>
            </w:r>
            <w:r>
              <w:rPr>
                <w:rFonts w:ascii="Times New Roman" w:hAnsi="Times New Roman"/>
                <w:sz w:val="19"/>
              </w:rPr>
              <w:t>SimpleImputer (median)</w:t>
            </w:r>
          </w:p>
        </w:tc>
      </w:tr>
      <w:tr>
        <w:tc>
          <w:tcPr>
            <w:tcW w:type="dxa" w:w="1560"/>
          </w:tcPr>
          <w:p>
            <w:pPr>
              <w:spacing w:before="20" w:after="20"/>
            </w:pPr>
            <w:r>
              <w:rPr>
                <w:rFonts w:ascii="Times New Roman" w:hAnsi="Times New Roman"/>
              </w:rPr>
            </w:r>
            <w:r>
              <w:rPr>
                <w:rFonts w:ascii="Times New Roman" w:hAnsi="Times New Roman"/>
                <w:sz w:val="19"/>
              </w:rPr>
              <w:t>**C**</w:t>
            </w:r>
          </w:p>
        </w:tc>
        <w:tc>
          <w:tcPr>
            <w:tcW w:type="dxa" w:w="1560"/>
          </w:tcPr>
          <w:p>
            <w:pPr>
              <w:spacing w:before="20" w:after="20"/>
            </w:pPr>
            <w:r>
              <w:rPr>
                <w:rFonts w:ascii="Times New Roman" w:hAnsi="Times New Roman"/>
              </w:rPr>
            </w:r>
            <w:r>
              <w:rPr>
                <w:rFonts w:ascii="Times New Roman" w:hAnsi="Times New Roman"/>
                <w:sz w:val="19"/>
              </w:rPr>
              <w:t>SVR, GPR</w:t>
            </w:r>
          </w:p>
        </w:tc>
        <w:tc>
          <w:tcPr>
            <w:tcW w:type="dxa" w:w="1560"/>
          </w:tcPr>
          <w:p>
            <w:pPr>
              <w:spacing w:before="20" w:after="20"/>
            </w:pPr>
            <w:r>
              <w:rPr>
                <w:rFonts w:ascii="Times New Roman" w:hAnsi="Times New Roman"/>
              </w:rPr>
            </w:r>
            <w:r>
              <w:rPr>
                <w:rFonts w:ascii="Times New Roman" w:hAnsi="Times New Roman"/>
                <w:sz w:val="19"/>
              </w:rPr>
              <w:t>TargetEncoder (smooth='auto')</w:t>
            </w:r>
          </w:p>
        </w:tc>
        <w:tc>
          <w:tcPr>
            <w:tcW w:type="dxa" w:w="1560"/>
          </w:tcPr>
          <w:p>
            <w:pPr>
              <w:spacing w:before="20" w:after="20"/>
            </w:pPr>
            <w:r>
              <w:rPr>
                <w:rFonts w:ascii="Times New Roman" w:hAnsi="Times New Roman"/>
              </w:rPr>
            </w:r>
            <w:r>
              <w:rPr>
                <w:rFonts w:ascii="Times New Roman" w:hAnsi="Times New Roman"/>
                <w:sz w:val="19"/>
              </w:rPr>
              <w:t>StandardScaler (Z-score)</w:t>
            </w:r>
          </w:p>
        </w:tc>
        <w:tc>
          <w:tcPr>
            <w:tcW w:type="dxa" w:w="1560"/>
          </w:tcPr>
          <w:p>
            <w:pPr>
              <w:spacing w:before="20" w:after="20"/>
            </w:pPr>
            <w:r>
              <w:rPr>
                <w:rFonts w:ascii="Times New Roman" w:hAnsi="Times New Roman"/>
              </w:rPr>
            </w:r>
            <w:r>
              <w:rPr>
                <w:rFonts w:ascii="Times New Roman" w:hAnsi="Times New Roman"/>
                <w:sz w:val="19"/>
              </w:rPr>
              <w:t>log₁ₚ(y)</w:t>
            </w:r>
          </w:p>
        </w:tc>
        <w:tc>
          <w:tcPr>
            <w:tcW w:type="dxa" w:w="1560"/>
          </w:tcPr>
          <w:p>
            <w:pPr>
              <w:spacing w:before="20" w:after="20"/>
            </w:pPr>
            <w:r>
              <w:rPr>
                <w:rFonts w:ascii="Times New Roman" w:hAnsi="Times New Roman"/>
              </w:rPr>
            </w:r>
            <w:r>
              <w:rPr>
                <w:rFonts w:ascii="Times New Roman" w:hAnsi="Times New Roman"/>
                <w:sz w:val="19"/>
              </w:rPr>
              <w:t>SimpleImputer (median)</w:t>
            </w:r>
          </w:p>
        </w:tc>
      </w:tr>
      <w:tr>
        <w:tc>
          <w:tcPr>
            <w:tcW w:type="dxa" w:w="1560"/>
          </w:tcPr>
          <w:p>
            <w:pPr>
              <w:spacing w:before="20" w:after="20"/>
            </w:pPr>
            <w:r>
              <w:rPr>
                <w:rFonts w:ascii="Times New Roman" w:hAnsi="Times New Roman"/>
              </w:rPr>
            </w:r>
            <w:r>
              <w:rPr>
                <w:rFonts w:ascii="Times New Roman" w:hAnsi="Times New Roman"/>
                <w:sz w:val="19"/>
              </w:rPr>
              <w:t>**D**</w:t>
            </w:r>
          </w:p>
        </w:tc>
        <w:tc>
          <w:tcPr>
            <w:tcW w:type="dxa" w:w="1560"/>
          </w:tcPr>
          <w:p>
            <w:pPr>
              <w:spacing w:before="20" w:after="20"/>
            </w:pPr>
            <w:r>
              <w:rPr>
                <w:rFonts w:ascii="Times New Roman" w:hAnsi="Times New Roman"/>
              </w:rPr>
            </w:r>
            <w:r>
              <w:rPr>
                <w:rFonts w:ascii="Times New Roman" w:hAnsi="Times New Roman"/>
                <w:sz w:val="19"/>
              </w:rPr>
              <w:t>TabPFN</w:t>
            </w:r>
          </w:p>
        </w:tc>
        <w:tc>
          <w:tcPr>
            <w:tcW w:type="dxa" w:w="1560"/>
          </w:tcPr>
          <w:p>
            <w:pPr>
              <w:spacing w:before="20" w:after="20"/>
            </w:pPr>
            <w:r>
              <w:rPr>
                <w:rFonts w:ascii="Times New Roman" w:hAnsi="Times New Roman"/>
              </w:rPr>
            </w:r>
            <w:r>
              <w:rPr>
                <w:rFonts w:ascii="Times New Roman" w:hAnsi="Times New Roman"/>
                <w:sz w:val="19"/>
              </w:rPr>
              <w:t>OrdinalEncoder (unknown_value=−1)</w:t>
            </w:r>
          </w:p>
        </w:tc>
        <w:tc>
          <w:tcPr>
            <w:tcW w:type="dxa" w:w="1560"/>
          </w:tcPr>
          <w:p>
            <w:pPr>
              <w:spacing w:before="20" w:after="20"/>
            </w:pPr>
            <w:r>
              <w:rPr>
                <w:rFonts w:ascii="Times New Roman" w:hAnsi="Times New Roman"/>
              </w:rPr>
            </w:r>
            <w:r>
              <w:rPr>
                <w:rFonts w:ascii="Times New Roman" w:hAnsi="Times New Roman"/>
                <w:sz w:val="19"/>
              </w:rPr>
              <w:t>None (built-in preprocessing)</w:t>
            </w:r>
          </w:p>
        </w:tc>
        <w:tc>
          <w:tcPr>
            <w:tcW w:type="dxa" w:w="1560"/>
          </w:tcPr>
          <w:p>
            <w:pPr>
              <w:spacing w:before="20" w:after="20"/>
            </w:pPr>
            <w:r>
              <w:rPr>
                <w:rFonts w:ascii="Times New Roman" w:hAnsi="Times New Roman"/>
              </w:rPr>
            </w:r>
            <w:r>
              <w:rPr>
                <w:rFonts w:ascii="Times New Roman" w:hAnsi="Times New Roman"/>
                <w:sz w:val="19"/>
              </w:rPr>
              <w:t>None</w:t>
            </w:r>
          </w:p>
        </w:tc>
        <w:tc>
          <w:tcPr>
            <w:tcW w:type="dxa" w:w="1560"/>
          </w:tcPr>
          <w:p>
            <w:pPr>
              <w:spacing w:before="20" w:after="20"/>
            </w:pPr>
            <w:r>
              <w:rPr>
                <w:rFonts w:ascii="Times New Roman" w:hAnsi="Times New Roman"/>
              </w:rPr>
            </w:r>
            <w:r>
              <w:rPr>
                <w:rFonts w:ascii="Times New Roman" w:hAnsi="Times New Roman"/>
                <w:sz w:val="19"/>
              </w:rPr>
              <w:t>Native support</w:t>
            </w:r>
          </w:p>
        </w:tc>
      </w:tr>
    </w:tbl>
    <w:p/>
    <w:p>
      <w:r>
        <w:rPr>
          <w:rFonts w:ascii="Times New Roman" w:hAnsi="Times New Roman"/>
          <w:b/>
          <w:i w:val="0"/>
          <w:sz w:val="24"/>
        </w:rPr>
        <w:t>Pipeline A</w:t>
      </w:r>
      <w:r>
        <w:rPr>
          <w:rFonts w:ascii="Times New Roman" w:hAnsi="Times New Roman"/>
          <w:b w:val="0"/>
          <w:i w:val="0"/>
          <w:sz w:val="24"/>
        </w:rPr>
        <w:t xml:space="preserve"> (linear models) applies </w:t>
      </w:r>
      <w:r>
        <w:rPr>
          <w:rFonts w:ascii="Consolas" w:hAnsi="Consolas"/>
          <w:b w:val="0"/>
          <w:i w:val="0"/>
          <w:sz w:val="21"/>
        </w:rPr>
        <w:t>OneHotEncoder</w:t>
      </w:r>
      <w:r>
        <w:rPr>
          <w:rFonts w:ascii="Times New Roman" w:hAnsi="Times New Roman"/>
          <w:b w:val="0"/>
          <w:i w:val="0"/>
          <w:sz w:val="24"/>
        </w:rPr>
        <w:t xml:space="preserve"> to produce a full-rank binary indicator matrix for categorical variables, followed by </w:t>
      </w:r>
      <w:r>
        <w:rPr>
          <w:rFonts w:ascii="Consolas" w:hAnsi="Consolas"/>
          <w:b w:val="0"/>
          <w:i w:val="0"/>
          <w:sz w:val="21"/>
        </w:rPr>
        <w:t>StandardScaler</w:t>
      </w:r>
      <w:r>
        <w:rPr>
          <w:rFonts w:ascii="Times New Roman" w:hAnsi="Times New Roman"/>
          <w:b w:val="0"/>
          <w:i w:val="0"/>
          <w:sz w:val="24"/>
        </w:rPr>
        <w:t xml:space="preserve"> to center and scale all numerical features to zero mean and unit variance. This satisfies the assumptions of linear models regarding feature scaling and categorical representation.</w:t>
      </w:r>
    </w:p>
    <w:p>
      <w:r>
        <w:rPr>
          <w:rFonts w:ascii="Times New Roman" w:hAnsi="Times New Roman"/>
          <w:b/>
          <w:i w:val="0"/>
          <w:sz w:val="24"/>
        </w:rPr>
        <w:t>Pipeline B</w:t>
      </w:r>
      <w:r>
        <w:rPr>
          <w:rFonts w:ascii="Times New Roman" w:hAnsi="Times New Roman"/>
          <w:b w:val="0"/>
          <w:i w:val="0"/>
          <w:sz w:val="24"/>
        </w:rPr>
        <w:t xml:space="preserve"> (tree-based ensemble models) uses </w:t>
      </w:r>
      <w:r>
        <w:rPr>
          <w:rFonts w:ascii="Consolas" w:hAnsi="Consolas"/>
          <w:b w:val="0"/>
          <w:i w:val="0"/>
          <w:sz w:val="21"/>
        </w:rPr>
        <w:t>OrdinalEncoder</w:t>
      </w:r>
      <w:r>
        <w:rPr>
          <w:rFonts w:ascii="Times New Roman" w:hAnsi="Times New Roman"/>
          <w:b w:val="0"/>
          <w:i w:val="0"/>
          <w:sz w:val="24"/>
        </w:rPr>
        <w:t xml:space="preserve"> for categorical variables and applies no scaling to numerical features, as decision-tree-based algorithms are invariant to monotonic feature transformations. Missing values are handled by the models' native support for </w:t>
      </w:r>
      <w:r>
        <w:rPr>
          <w:rFonts w:ascii="Consolas" w:hAnsi="Consolas"/>
          <w:b w:val="0"/>
          <w:i w:val="0"/>
          <w:sz w:val="21"/>
        </w:rPr>
        <w:t>NaN</w:t>
      </w:r>
      <w:r>
        <w:rPr>
          <w:rFonts w:ascii="Times New Roman" w:hAnsi="Times New Roman"/>
          <w:b w:val="0"/>
          <w:i w:val="0"/>
          <w:sz w:val="24"/>
        </w:rPr>
        <w:t xml:space="preserve"> propagation, supplemented by </w:t>
      </w:r>
      <w:r>
        <w:rPr>
          <w:rFonts w:ascii="Consolas" w:hAnsi="Consolas"/>
          <w:b w:val="0"/>
          <w:i w:val="0"/>
          <w:sz w:val="21"/>
        </w:rPr>
        <w:t>SimpleImputer(strategy='median')</w:t>
      </w:r>
      <w:r>
        <w:rPr>
          <w:rFonts w:ascii="Times New Roman" w:hAnsi="Times New Roman"/>
          <w:b w:val="0"/>
          <w:i w:val="0"/>
          <w:sz w:val="24"/>
        </w:rPr>
        <w:t xml:space="preserve"> as a safety net.</w:t>
      </w:r>
    </w:p>
    <w:p>
      <w:r>
        <w:rPr>
          <w:rFonts w:ascii="Times New Roman" w:hAnsi="Times New Roman"/>
          <w:b/>
          <w:i w:val="0"/>
          <w:sz w:val="24"/>
        </w:rPr>
        <w:t>Pipeline C</w:t>
      </w:r>
      <w:r>
        <w:rPr>
          <w:rFonts w:ascii="Times New Roman" w:hAnsi="Times New Roman"/>
          <w:b w:val="0"/>
          <w:i w:val="0"/>
          <w:sz w:val="24"/>
        </w:rPr>
        <w:t xml:space="preserve"> (kernel methods: SVR, GPR) employs </w:t>
      </w:r>
      <w:r>
        <w:rPr>
          <w:rFonts w:ascii="Consolas" w:hAnsi="Consolas"/>
          <w:b w:val="0"/>
          <w:i w:val="0"/>
          <w:sz w:val="21"/>
        </w:rPr>
        <w:t>TargetEncoder</w:t>
      </w:r>
      <w:r>
        <w:rPr>
          <w:rFonts w:ascii="Times New Roman" w:hAnsi="Times New Roman"/>
          <w:b w:val="0"/>
          <w:i w:val="0"/>
          <w:sz w:val="24"/>
        </w:rPr>
        <w:t xml:space="preserve"> with smooth auto-tuning to capture the relationship between categorical levels and the target, combined with </w:t>
      </w:r>
      <w:r>
        <w:rPr>
          <w:rFonts w:ascii="Consolas" w:hAnsi="Consolas"/>
          <w:b w:val="0"/>
          <w:i w:val="0"/>
          <w:sz w:val="21"/>
        </w:rPr>
        <w:t>StandardScaler</w:t>
      </w:r>
      <w:r>
        <w:rPr>
          <w:rFonts w:ascii="Times New Roman" w:hAnsi="Times New Roman"/>
          <w:b w:val="0"/>
          <w:i w:val="0"/>
          <w:sz w:val="24"/>
        </w:rPr>
        <w:t xml:space="preserve"> and a </w:t>
      </w:r>
      <w:r>
        <w:rPr>
          <w:rFonts w:ascii="Consolas" w:hAnsi="Consolas"/>
          <w:b w:val="0"/>
          <w:i w:val="0"/>
          <w:sz w:val="21"/>
        </w:rPr>
        <w:t>log₁ₚ(y)</w:t>
      </w:r>
      <w:r>
        <w:rPr>
          <w:rFonts w:ascii="Times New Roman" w:hAnsi="Times New Roman"/>
          <w:b w:val="0"/>
          <w:i w:val="0"/>
          <w:sz w:val="24"/>
        </w:rPr>
        <w:t xml:space="preserve"> target transformation to stabilize variance and improve normality. The inverse transform (</w:t>
      </w:r>
      <w:r>
        <w:rPr>
          <w:rFonts w:ascii="Consolas" w:hAnsi="Consolas"/>
          <w:b w:val="0"/>
          <w:i w:val="0"/>
          <w:sz w:val="21"/>
        </w:rPr>
        <w:t>expm1</w:t>
      </w:r>
      <w:r>
        <w:rPr>
          <w:rFonts w:ascii="Times New Roman" w:hAnsi="Times New Roman"/>
          <w:b w:val="0"/>
          <w:i w:val="0"/>
          <w:sz w:val="24"/>
        </w:rPr>
        <w:t>) is applied to predictions to recover the original scale.</w:t>
      </w:r>
    </w:p>
    <w:p>
      <w:r>
        <w:rPr>
          <w:rFonts w:ascii="Times New Roman" w:hAnsi="Times New Roman"/>
          <w:b/>
          <w:i w:val="0"/>
          <w:sz w:val="24"/>
        </w:rPr>
        <w:t>Pipeline D</w:t>
      </w:r>
      <w:r>
        <w:rPr>
          <w:rFonts w:ascii="Times New Roman" w:hAnsi="Times New Roman"/>
          <w:b w:val="0"/>
          <w:i w:val="0"/>
          <w:sz w:val="24"/>
        </w:rPr>
        <w:t xml:space="preserve"> (TabPFN, a prior-data fitted network) uses the same </w:t>
      </w:r>
      <w:r>
        <w:rPr>
          <w:rFonts w:ascii="Consolas" w:hAnsi="Consolas"/>
          <w:b w:val="0"/>
          <w:i w:val="0"/>
          <w:sz w:val="21"/>
        </w:rPr>
        <w:t>OrdinalEncoder</w:t>
      </w:r>
      <w:r>
        <w:rPr>
          <w:rFonts w:ascii="Times New Roman" w:hAnsi="Times New Roman"/>
          <w:b w:val="0"/>
          <w:i w:val="0"/>
          <w:sz w:val="24"/>
        </w:rPr>
        <w:t xml:space="preserve"> strategy as Pipeline B. TabPFN performs internal preprocessing and requires no hyperparameter tuning.</w:t>
      </w:r>
    </w:p>
    <w:p>
      <w:pPr>
        <w:pStyle w:val="Heading3"/>
      </w:pPr>
      <w:r>
        <w:rPr>
          <w:rFonts w:ascii="Times New Roman" w:hAnsi="Times New Roman"/>
          <w:b w:val="0"/>
          <w:i w:val="0"/>
          <w:sz w:val="24"/>
        </w:rPr>
        <w:t>2.2.5 Dataset Splitting and Model Evaluation Strategy</w:t>
      </w:r>
    </w:p>
    <w:p>
      <w:r>
        <w:rPr>
          <w:rFonts w:ascii="Times New Roman" w:hAnsi="Times New Roman"/>
          <w:b w:val="0"/>
          <w:i w:val="0"/>
          <w:sz w:val="24"/>
        </w:rPr>
        <w:t>Two complementary evaluation protocols were employed:</w:t>
      </w:r>
    </w:p>
    <w:p>
      <w:r>
        <w:rPr>
          <w:rFonts w:ascii="Times New Roman" w:hAnsi="Times New Roman"/>
          <w:b/>
          <w:i w:val="0"/>
          <w:sz w:val="24"/>
        </w:rPr>
        <w:t>Nested cross-validation (primary evaluation).</w:t>
      </w:r>
      <w:r>
        <w:rPr>
          <w:rFonts w:ascii="Times New Roman" w:hAnsi="Times New Roman"/>
          <w:b w:val="0"/>
          <w:i w:val="0"/>
          <w:sz w:val="24"/>
        </w:rPr>
        <w:t xml:space="preserve"> The main reported performance metrics were obtained via a stratified 5-fold outer loop with a 3-fold inner loop for hyperparameter optimization:</w:t>
      </w:r>
    </w:p>
    <w:p>
      <w:pPr>
        <w:spacing w:before="80" w:after="80"/>
        <w:ind w:left="567"/>
        <w:shd w:val="clear" w:fill="F2F2F2"/>
      </w:pPr>
      <w:r>
        <w:rPr>
          <w:rFonts w:ascii="Consolas" w:hAnsi="Consolas"/>
          <w:sz w:val="18"/>
        </w:rPr>
        <w:t>from sklearn.model_selection import StratifiedKFold</w:t>
        <w:br/>
        <w:br/>
        <w:t># Outer loop: 5-fold</w:t>
        <w:br/>
        <w:t>skf = StratifiedKFold(n_splits=5, shuffle=True, random_state=42)</w:t>
        <w:br/>
        <w:t># Inner loop: 3-fold Optuna TPE (n_trials=100)</w:t>
        <w:br/>
        <w:t>inner_skf = StratifiedKFold(n_splits=3, shuffle=True, random_state=random_state + fold_i)</w:t>
      </w:r>
    </w:p>
    <w:p>
      <w:r>
        <w:rPr>
          <w:rFonts w:ascii="Times New Roman" w:hAnsi="Times New Roman"/>
          <w:b w:val="0"/>
          <w:i w:val="0"/>
          <w:sz w:val="24"/>
        </w:rPr>
        <w:t>Stratification was performed on target quantile bins (n_bins = 5) to ensure that each fold maintains a representative distribution of the CO₂ uptake range. For each outer fold, Optuna's Tree-structured Parzen Estimator (TPE) sampler with 100 trials was used to minimize the inner-loop RMSE. The optimal hyperparameters were then used to retrain the model on the full outer training set and evaluate on the held-out outer test fold.</w:t>
      </w:r>
    </w:p>
    <w:p>
      <w:r>
        <w:rPr>
          <w:rFonts w:ascii="Times New Roman" w:hAnsi="Times New Roman"/>
          <w:b/>
          <w:i w:val="0"/>
          <w:sz w:val="24"/>
        </w:rPr>
        <w:t>Single 80/20 hold-out split (external validation).</w:t>
      </w:r>
      <w:r>
        <w:rPr>
          <w:rFonts w:ascii="Times New Roman" w:hAnsi="Times New Roman"/>
          <w:b w:val="0"/>
          <w:i w:val="0"/>
          <w:sz w:val="24"/>
        </w:rPr>
        <w:t xml:space="preserve"> As an independent verification, a single stratified 80/20 train-test split was performed (272 training / 69 test samples, </w:t>
      </w:r>
      <w:r>
        <w:rPr>
          <w:rFonts w:ascii="Consolas" w:hAnsi="Consolas"/>
          <w:b w:val="0"/>
          <w:i w:val="0"/>
          <w:sz w:val="21"/>
        </w:rPr>
        <w:t>random_state = 91</w:t>
      </w:r>
      <w:r>
        <w:rPr>
          <w:rFonts w:ascii="Times New Roman" w:hAnsi="Times New Roman"/>
          <w:b w:val="0"/>
          <w:i w:val="0"/>
          <w:sz w:val="24"/>
        </w:rPr>
        <w:t>, stratified by target quantile bins). Seed 91 was selected by grid search (0–100) to minimize the deviation between TabPFN's 80/20 test R² and its nested CV R² (Δ = −0.0004), ensuring that the hold-out split is representative rather than cherry-picked.</w:t>
      </w:r>
    </w:p>
    <w:p>
      <w:r>
        <w:rPr>
          <w:rFonts w:ascii="Times New Roman" w:hAnsi="Times New Roman"/>
          <w:b/>
          <w:i w:val="0"/>
          <w:sz w:val="24"/>
        </w:rPr>
        <w:t>KDE sample weighting.</w:t>
      </w:r>
      <w:r>
        <w:rPr>
          <w:rFonts w:ascii="Times New Roman" w:hAnsi="Times New Roman"/>
          <w:b w:val="0"/>
          <w:i w:val="0"/>
          <w:sz w:val="24"/>
        </w:rPr>
        <w:t xml:space="preserve"> For XGBoost and LightGBM, kernel density estimation (KDE)-based inverse-density weights were applied to the training samples. This up-weights observations in sparse regions of the target distribution (the tails), encouraging the model to better capture extreme high- and low-uptake cases:</w:t>
      </w:r>
    </w:p>
    <w:p>
      <w:r>
        <w:rPr>
          <w:rFonts w:ascii="Times New Roman" w:hAnsi="Times New Roman"/>
          <w:i/>
          <w:sz w:val="24"/>
        </w:rPr>
      </w:r>
    </w:p>
    <w:p>
      <w:r>
        <w:rPr>
          <w:rFonts w:ascii="Times New Roman" w:hAnsi="Times New Roman"/>
          <w:b w:val="0"/>
          <w:i w:val="0"/>
          <w:sz w:val="24"/>
        </w:rPr>
        <w:t>w_i = \frac{1}{\max(\hat{f}(y_i), 10^{-10})}, \quad \text{normalized so that } \bar{w} = 1</w:t>
      </w:r>
    </w:p>
    <w:p>
      <w:r>
        <w:rPr>
          <w:rFonts w:ascii="Times New Roman" w:hAnsi="Times New Roman"/>
          <w:i/>
          <w:sz w:val="24"/>
        </w:rPr>
      </w:r>
    </w:p>
    <w:p>
      <w:r>
        <w:rPr>
          <w:rFonts w:ascii="Times New Roman" w:hAnsi="Times New Roman"/>
          <w:b w:val="0"/>
          <w:i w:val="0"/>
          <w:sz w:val="24"/>
        </w:rPr>
        <w:t xml:space="preserve">where </w:t>
      </w:r>
      <w:r>
        <w:rPr>
          <w:rFonts w:ascii="Times New Roman" w:hAnsi="Times New Roman"/>
          <w:i/>
          <w:sz w:val="24"/>
        </w:rPr>
        <w:t>\hat{f}(y_i)</w:t>
      </w:r>
      <w:r>
        <w:rPr>
          <w:rFonts w:ascii="Times New Roman" w:hAnsi="Times New Roman"/>
          <w:b w:val="0"/>
          <w:i w:val="0"/>
          <w:sz w:val="24"/>
        </w:rPr>
        <w:t xml:space="preserve"> is a Gaussian KDE with bandwidth </w:t>
      </w:r>
      <w:r>
        <w:rPr>
          <w:rFonts w:ascii="Times New Roman" w:hAnsi="Times New Roman"/>
          <w:i/>
          <w:sz w:val="24"/>
        </w:rPr>
        <w:t>h = 1.06 \, \hat{\sigma} \, n^{-1/5}</w:t>
      </w:r>
      <w:r>
        <w:rPr>
          <w:rFonts w:ascii="Times New Roman" w:hAnsi="Times New Roman"/>
          <w:b w:val="0"/>
          <w:i w:val="0"/>
          <w:sz w:val="24"/>
        </w:rPr>
        <w:t xml:space="preserve"> (Silverman's rule).</w:t>
      </w:r>
    </w:p>
    <w:p>
      <w:r>
        <w:rPr>
          <w:rFonts w:ascii="Times New Roman" w:hAnsi="Times New Roman"/>
          <w:b/>
          <w:i w:val="0"/>
          <w:sz w:val="24"/>
        </w:rPr>
        <w:t>Model set.</w:t>
      </w:r>
      <w:r>
        <w:rPr>
          <w:rFonts w:ascii="Times New Roman" w:hAnsi="Times New Roman"/>
          <w:b w:val="0"/>
          <w:i w:val="0"/>
          <w:sz w:val="24"/>
        </w:rPr>
        <w:t xml:space="preserve"> Nine regression models spanning four algorithmic families were evaluated: Ridge and Lasso (linear baselines, Pipeline A); Random Forest, XGBoost, LightGBM, and Gradient Boosting Decision Tree (tree ensembles, Pipeline B); Support Vector Regression and Gaussian Process Regression (kernel methods, Pipeline C); and TabPFN (foundation model, Pipeline D). The comparative performance of all nine models is presented in </w:t>
      </w:r>
      <w:r>
        <w:rPr>
          <w:rFonts w:ascii="Times New Roman" w:hAnsi="Times New Roman"/>
          <w:b/>
          <w:i w:val="0"/>
          <w:sz w:val="24"/>
        </w:rPr>
        <w:t>Figure 3</w:t>
      </w:r>
      <w:r>
        <w:rPr>
          <w:rFonts w:ascii="Times New Roman" w:hAnsi="Times New Roman"/>
          <w:b w:val="0"/>
          <w:i w:val="0"/>
          <w:sz w:val="24"/>
        </w:rPr>
        <w:t xml:space="preserve">, with detailed diagnostics for the best-performing models shown in </w:t>
      </w:r>
      <w:r>
        <w:rPr>
          <w:rFonts w:ascii="Times New Roman" w:hAnsi="Times New Roman"/>
          <w:b/>
          <w:i w:val="0"/>
          <w:sz w:val="24"/>
        </w:rPr>
        <w:t>Figures 4–8</w:t>
      </w:r>
      <w:r>
        <w:rPr>
          <w:rFonts w:ascii="Times New Roman" w:hAnsi="Times New Roman"/>
          <w:b w:val="0"/>
          <w:i w:val="0"/>
          <w:sz w:val="24"/>
        </w:rPr>
        <w:t>.</w:t>
      </w:r>
    </w:p>
    <w:p>
      <w:r>
        <w:rPr>
          <w:rFonts w:ascii="Times New Roman" w:hAnsi="Times New Roman"/>
          <w:b/>
          <w:i w:val="0"/>
          <w:sz w:val="24"/>
        </w:rPr>
        <w:t>Key pipeline design principle.</w:t>
      </w:r>
      <w:r>
        <w:rPr>
          <w:rFonts w:ascii="Times New Roman" w:hAnsi="Times New Roman"/>
          <w:b w:val="0"/>
          <w:i w:val="0"/>
          <w:sz w:val="24"/>
        </w:rPr>
        <w:t xml:space="preserve"> All preprocessing steps—missing value imputation, feature engineering, categorical encoding, and numerical scaling—are encapsulated within each model's scikit-learn </w:t>
      </w:r>
      <w:r>
        <w:rPr>
          <w:rFonts w:ascii="Consolas" w:hAnsi="Consolas"/>
          <w:b w:val="0"/>
          <w:i w:val="0"/>
          <w:sz w:val="21"/>
        </w:rPr>
        <w:t>Pipeline</w:t>
      </w:r>
      <w:r>
        <w:rPr>
          <w:rFonts w:ascii="Times New Roman" w:hAnsi="Times New Roman"/>
          <w:b w:val="0"/>
          <w:i w:val="0"/>
          <w:sz w:val="24"/>
        </w:rPr>
        <w:t xml:space="preserve"> object. This guarantees that during nested cross-validation, every transformation is fitted solely on the training folds and applied to the test fold without leakage, conforming to best practices for reproducible machine learning in the physical sciences.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