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B2D" w:rsidRPr="00D87B2D" w:rsidRDefault="00D87B2D" w:rsidP="00D87B2D">
      <w:pPr>
        <w:rPr>
          <w:rFonts w:ascii="Times New Roman" w:hAnsi="Times New Roman" w:cs="Times New Roman"/>
          <w:sz w:val="24"/>
          <w:szCs w:val="24"/>
        </w:rPr>
      </w:pPr>
      <w:bookmarkStart w:id="0" w:name="_GoBack"/>
      <w:r w:rsidRPr="00D87B2D">
        <w:rPr>
          <w:rFonts w:ascii="Times New Roman" w:hAnsi="Times New Roman" w:cs="Times New Roman"/>
          <w:sz w:val="24"/>
          <w:szCs w:val="24"/>
        </w:rPr>
        <w:t>THIS THE WAY MY PROJECT WORKS</w:t>
      </w:r>
      <w:r w:rsidRPr="00D87B2D">
        <w:rPr>
          <w:rFonts w:ascii="Times New Roman" w:hAnsi="Times New Roman" w:cs="Times New Roman"/>
          <w:sz w:val="24"/>
          <w:szCs w:val="24"/>
        </w:rPr>
        <w:br/>
      </w:r>
      <w:r w:rsidRPr="00D87B2D">
        <w:rPr>
          <w:rFonts w:ascii="Times New Roman" w:hAnsi="Times New Roman" w:cs="Times New Roman"/>
          <w:sz w:val="24"/>
          <w:szCs w:val="24"/>
        </w:rPr>
        <w:br/>
      </w:r>
      <w:r w:rsidRPr="00D87B2D">
        <w:rPr>
          <w:rFonts w:ascii="Times New Roman" w:hAnsi="Times New Roman" w:cs="Times New Roman"/>
          <w:sz w:val="24"/>
          <w:szCs w:val="24"/>
        </w:rPr>
        <w:t>Registration and Enrollment: Participants register for the leadership training workshop through the platform's website. They provide necessary information and may choose a specific workshop or session based on their availability and needs.</w:t>
      </w:r>
    </w:p>
    <w:p w:rsidR="00D87B2D" w:rsidRPr="00D87B2D" w:rsidRDefault="00D87B2D" w:rsidP="00D87B2D">
      <w:pPr>
        <w:rPr>
          <w:rFonts w:ascii="Times New Roman" w:hAnsi="Times New Roman" w:cs="Times New Roman"/>
          <w:sz w:val="24"/>
          <w:szCs w:val="24"/>
        </w:rPr>
      </w:pPr>
    </w:p>
    <w:p w:rsidR="00D87B2D" w:rsidRPr="00D87B2D" w:rsidRDefault="00D87B2D" w:rsidP="00D87B2D">
      <w:pPr>
        <w:rPr>
          <w:rFonts w:ascii="Times New Roman" w:hAnsi="Times New Roman" w:cs="Times New Roman"/>
          <w:sz w:val="24"/>
          <w:szCs w:val="24"/>
        </w:rPr>
      </w:pPr>
      <w:r w:rsidRPr="00D87B2D">
        <w:rPr>
          <w:rFonts w:ascii="Times New Roman" w:hAnsi="Times New Roman" w:cs="Times New Roman"/>
          <w:sz w:val="24"/>
          <w:szCs w:val="24"/>
        </w:rPr>
        <w:t>Access and Authentication: Upon registration, participants receive login credentials or access links to the virtual platform. This ensures only registered individuals can enter the workshop sessions.</w:t>
      </w:r>
    </w:p>
    <w:p w:rsidR="00D87B2D" w:rsidRPr="00D87B2D" w:rsidRDefault="00D87B2D" w:rsidP="00D87B2D">
      <w:pPr>
        <w:rPr>
          <w:rFonts w:ascii="Times New Roman" w:hAnsi="Times New Roman" w:cs="Times New Roman"/>
          <w:sz w:val="24"/>
          <w:szCs w:val="24"/>
        </w:rPr>
      </w:pPr>
    </w:p>
    <w:p w:rsidR="00D87B2D" w:rsidRPr="00D87B2D" w:rsidRDefault="00D87B2D" w:rsidP="00D87B2D">
      <w:pPr>
        <w:rPr>
          <w:rFonts w:ascii="Times New Roman" w:hAnsi="Times New Roman" w:cs="Times New Roman"/>
          <w:sz w:val="24"/>
          <w:szCs w:val="24"/>
        </w:rPr>
      </w:pPr>
      <w:r w:rsidRPr="00D87B2D">
        <w:rPr>
          <w:rFonts w:ascii="Times New Roman" w:hAnsi="Times New Roman" w:cs="Times New Roman"/>
          <w:sz w:val="24"/>
          <w:szCs w:val="24"/>
        </w:rPr>
        <w:t>Virtual Environment Setup: The platform provides a virtual environment for conducting workshops. This could be a video conferencing tool like Zoom, Microsoft Teams, or proprietary software designed specifically for virtual workshops. The environment includes features for video streaming, screen sharing, chat, and possibly breakout rooms for group discussions and activities.</w:t>
      </w:r>
    </w:p>
    <w:p w:rsidR="00D87B2D" w:rsidRPr="00D87B2D" w:rsidRDefault="00D87B2D" w:rsidP="00D87B2D">
      <w:pPr>
        <w:rPr>
          <w:rFonts w:ascii="Times New Roman" w:hAnsi="Times New Roman" w:cs="Times New Roman"/>
          <w:sz w:val="24"/>
          <w:szCs w:val="24"/>
        </w:rPr>
      </w:pPr>
    </w:p>
    <w:p w:rsidR="00D87B2D" w:rsidRPr="00D87B2D" w:rsidRDefault="00D87B2D" w:rsidP="00D87B2D">
      <w:pPr>
        <w:rPr>
          <w:rFonts w:ascii="Times New Roman" w:hAnsi="Times New Roman" w:cs="Times New Roman"/>
          <w:sz w:val="24"/>
          <w:szCs w:val="24"/>
        </w:rPr>
      </w:pPr>
      <w:r w:rsidRPr="00D87B2D">
        <w:rPr>
          <w:rFonts w:ascii="Times New Roman" w:hAnsi="Times New Roman" w:cs="Times New Roman"/>
          <w:sz w:val="24"/>
          <w:szCs w:val="24"/>
        </w:rPr>
        <w:t>Content Delivery: The workshop content is delivered through a combination of live presentations, pre-recorded videos, slideshows, documents, and interactive modules. Trainers use these resources to cover various leadership topics such as communication skills, conflict resolution, team building, decision making, etc.</w:t>
      </w:r>
    </w:p>
    <w:p w:rsidR="00D87B2D" w:rsidRPr="00D87B2D" w:rsidRDefault="00D87B2D" w:rsidP="00D87B2D">
      <w:pPr>
        <w:rPr>
          <w:rFonts w:ascii="Times New Roman" w:hAnsi="Times New Roman" w:cs="Times New Roman"/>
          <w:sz w:val="24"/>
          <w:szCs w:val="24"/>
        </w:rPr>
      </w:pPr>
    </w:p>
    <w:p w:rsidR="00D87B2D" w:rsidRPr="00D87B2D" w:rsidRDefault="00D87B2D" w:rsidP="00D87B2D">
      <w:pPr>
        <w:rPr>
          <w:rFonts w:ascii="Times New Roman" w:hAnsi="Times New Roman" w:cs="Times New Roman"/>
          <w:sz w:val="24"/>
          <w:szCs w:val="24"/>
        </w:rPr>
      </w:pPr>
      <w:r w:rsidRPr="00D87B2D">
        <w:rPr>
          <w:rFonts w:ascii="Times New Roman" w:hAnsi="Times New Roman" w:cs="Times New Roman"/>
          <w:sz w:val="24"/>
          <w:szCs w:val="24"/>
        </w:rPr>
        <w:t>Interactive Elements: To keep participants engaged, virtual workshops often include interactive elements. This may include live polls, quizzes, Q&amp;A sessions, group discussions, role-playing exercises, and virtual whiteboards for brainstorming.</w:t>
      </w:r>
    </w:p>
    <w:p w:rsidR="00D87B2D" w:rsidRPr="00D87B2D" w:rsidRDefault="00D87B2D" w:rsidP="00D87B2D">
      <w:pPr>
        <w:rPr>
          <w:rFonts w:ascii="Times New Roman" w:hAnsi="Times New Roman" w:cs="Times New Roman"/>
          <w:sz w:val="24"/>
          <w:szCs w:val="24"/>
        </w:rPr>
      </w:pPr>
    </w:p>
    <w:p w:rsidR="00A6702A" w:rsidRPr="00D87B2D" w:rsidRDefault="00D87B2D" w:rsidP="00D87B2D">
      <w:pPr>
        <w:rPr>
          <w:rFonts w:ascii="Times New Roman" w:hAnsi="Times New Roman" w:cs="Times New Roman"/>
          <w:sz w:val="24"/>
          <w:szCs w:val="24"/>
        </w:rPr>
      </w:pPr>
      <w:r w:rsidRPr="00D87B2D">
        <w:rPr>
          <w:rFonts w:ascii="Times New Roman" w:hAnsi="Times New Roman" w:cs="Times New Roman"/>
          <w:sz w:val="24"/>
          <w:szCs w:val="24"/>
        </w:rPr>
        <w:t>Collaboration Tools: Participants can collaborate with each other and with the trainers using collaboration tools provided by the platform. This could involve group projects, case studies, or real-life simulations where participants work together to solve problems and apply leadership principles.</w:t>
      </w:r>
      <w:bookmarkEnd w:id="0"/>
    </w:p>
    <w:sectPr w:rsidR="00A6702A" w:rsidRPr="00D87B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2D"/>
    <w:rsid w:val="00A6702A"/>
    <w:rsid w:val="00D8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07E3"/>
  <w15:chartTrackingRefBased/>
  <w15:docId w15:val="{E01633A5-98A4-482C-8DE0-C2ED8A2F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Thimothee</dc:creator>
  <cp:keywords/>
  <dc:description/>
  <cp:lastModifiedBy>Thimothee</cp:lastModifiedBy>
  <cp:revision>1</cp:revision>
  <dcterms:created xsi:type="dcterms:W3CDTF">2024-05-23T09:57:00Z</dcterms:created>
  <dcterms:modified xsi:type="dcterms:W3CDTF">2024-05-23T09:59:00Z</dcterms:modified>
</cp:coreProperties>
</file>