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A023E5" w:rsidRPr="00A03A93" w:rsidRDefault="00A023E5" w:rsidP="00CC0484">
      <w:pPr>
        <w:ind w:left="450"/>
        <w:rPr>
          <w:rFonts w:ascii="Arial" w:hAnsi="Arial"/>
          <w:i/>
          <w:sz w:val="18"/>
          <w:szCs w:val="23"/>
        </w:rPr>
      </w:pPr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0D334F" w:rsidRPr="000D334F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E461B7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coordsize="21600,21600" wrapcoords="-2147483648 0 -2147483648 1350 -2147483648 24300 -2147483648 24300 -2147483648 1800 -2147483648 0 -2147483648 0" strokecolor="gray [1629]" strokeweight="1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following-sibling::</w:t>
      </w:r>
    </w:p>
    <w:p w:rsidR="00793D81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  <w:t xml:space="preserve">   namespace::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attribute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parent::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child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preceding::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preceding-sibling::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  <w:szCs w:val="23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following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45298C">
        <w:rPr>
          <w:rFonts w:ascii="Arial" w:hAnsi="Arial"/>
          <w:b/>
          <w:sz w:val="16"/>
        </w:rPr>
        <w:tab/>
      </w:r>
      <w:r w:rsidR="0045298C">
        <w:rPr>
          <w:rFonts w:ascii="Arial" w:hAnsi="Arial"/>
          <w:b/>
          <w:sz w:val="16"/>
        </w:rPr>
        <w:tab/>
        <w:t xml:space="preserve">   self::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C122E5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Concatenation: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FE59A7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proofErr w:type="gramStart"/>
      <w:r w:rsidR="00712629" w:rsidRPr="00502F36">
        <w:rPr>
          <w:rFonts w:ascii="Arial" w:hAnsi="Arial"/>
          <w:sz w:val="16"/>
          <w:szCs w:val="23"/>
        </w:rPr>
        <w:t>statement</w:t>
      </w:r>
      <w:proofErr w:type="gramEnd"/>
      <w:r w:rsidR="00712629" w:rsidRPr="00502F36">
        <w:rPr>
          <w:rFonts w:ascii="Arial" w:hAnsi="Arial"/>
          <w:sz w:val="16"/>
          <w:szCs w:val="23"/>
        </w:rPr>
        <w:t>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330908" w:rsidP="00167769">
      <w:pPr>
        <w:rPr>
          <w:rFonts w:ascii="Arial" w:hAnsi="Arial"/>
          <w:sz w:val="18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coordsize="21600,21600" wrapcoords="-2147483648 0 -2147483648 1350 -2147483648 24300 -2147483648 24300 -2147483648 1800 -2147483648 0 -2147483648 0" strokecolor="gray [1629]" strokeweight="1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6729"/>
    <w:rsid w:val="00447E16"/>
    <w:rsid w:val="0045298C"/>
    <w:rsid w:val="00486A86"/>
    <w:rsid w:val="004D2851"/>
    <w:rsid w:val="004D313A"/>
    <w:rsid w:val="00502F36"/>
    <w:rsid w:val="0056073D"/>
    <w:rsid w:val="00587D7A"/>
    <w:rsid w:val="005C5CCE"/>
    <w:rsid w:val="00600471"/>
    <w:rsid w:val="0061321B"/>
    <w:rsid w:val="00660DDB"/>
    <w:rsid w:val="00677535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702D8"/>
    <w:rsid w:val="00A73C7A"/>
    <w:rsid w:val="00AC70B5"/>
    <w:rsid w:val="00AC7A0C"/>
    <w:rsid w:val="00AD34DB"/>
    <w:rsid w:val="00AD720B"/>
    <w:rsid w:val="00B06FF1"/>
    <w:rsid w:val="00B076A9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301E3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F6C"/>
    <w:rsid w:val="00DB7C21"/>
    <w:rsid w:val="00DD19B7"/>
    <w:rsid w:val="00DF0DB1"/>
    <w:rsid w:val="00E43CF0"/>
    <w:rsid w:val="00E461B7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1091</TotalTime>
  <Pages>4</Pages>
  <Words>2571</Words>
  <Characters>14657</Characters>
  <Application>Microsoft Macintosh Word</Application>
  <DocSecurity>0</DocSecurity>
  <Lines>122</Lines>
  <Paragraphs>29</Paragraphs>
  <ScaleCrop>false</ScaleCrop>
  <Company/>
  <LinksUpToDate>false</LinksUpToDate>
  <CharactersWithSpaces>17999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19</cp:revision>
  <cp:lastPrinted>2011-02-02T19:52:00Z</cp:lastPrinted>
  <dcterms:created xsi:type="dcterms:W3CDTF">2011-01-27T16:19:00Z</dcterms:created>
  <dcterms:modified xsi:type="dcterms:W3CDTF">2011-02-02T20:10:00Z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