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0.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8.png" ContentType="image/png"/>
  <Override PartName="/word/media/rId71.png" ContentType="image/png"/>
  <Override PartName="/word/media/rId44.png" ContentType="image/png"/>
  <Override PartName="/word/media/rId48.png" ContentType="image/png"/>
  <Override PartName="/word/media/rId36.png" ContentType="image/png"/>
  <Override PartName="/word/media/rId4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X30f876fe93076d362efa9ce0908042ea0079b66"/>
    <w:p>
      <w:pPr>
        <w:pStyle w:val="Heading1"/>
      </w:pPr>
      <w:r>
        <w:t xml:space="preserve">mPLUG-Owl2: Revolutionizing Multi-modal Large Language Model with Modality Collaboration</w:t>
      </w:r>
    </w:p>
    <w:bookmarkStart w:id="23" w:name="背景"/>
    <w:p>
      <w:pPr>
        <w:pStyle w:val="Heading2"/>
      </w:pPr>
      <w:r>
        <w:t xml:space="preserve">背景</w:t>
      </w:r>
    </w:p>
    <w:p>
      <w:pPr>
        <w:pStyle w:val="FirstParagraph"/>
      </w:pPr>
      <w:r>
        <w:t xml:space="preserve">像GPT-3、LLaMA、GPT-4这样的大语言模型（LLM），由于它们在文本理解和泛化上出色的泛化能力，受到大家广泛的关注。为了促进视觉语言任务的应用，GPT-4V在多个任务中展示了令人印象深刻的多模态能力，比如描述、问答任务。这让研究者开始关注于视觉语言领域中的潜在关联，导致了一系列多模态大预言模型的出现。这使得大语言模型具备了理解并处理视觉问题的能力。</w:t>
      </w:r>
    </w:p>
    <w:p>
      <w:pPr>
        <w:pStyle w:val="BodyText"/>
      </w:pPr>
      <w:r>
        <w:t xml:space="preserve">但是，目前的方法仅仅关注于提升处理多模态任务的能力，忽略了单模态性能的保证。最近的工作使用了跨模态的对齐模块来将视觉编码器输出的视觉特征映射到预训练的LLM上，从而通过使用已有的语言能力来处理多模态任务。另外，一些研究者在多模态指令微调的时候也顺便把LLM微调了。这虽然提升了处理多模态任务的能力，但是这削弱了其单独处理文本任务的能力。</w:t>
      </w:r>
    </w:p>
    <w:p>
      <w:pPr>
        <w:pStyle w:val="CaptionedFigure"/>
      </w:pPr>
      <w:r>
        <w:drawing>
          <wp:inline>
            <wp:extent cx="5334000" cy="7216907"/>
            <wp:effectExtent b="0" l="0" r="0" t="0"/>
            <wp:docPr descr="Fig1" title="" id="21" name="Picture"/>
            <a:graphic>
              <a:graphicData uri="http://schemas.openxmlformats.org/drawingml/2006/picture">
                <pic:pic>
                  <pic:nvPicPr>
                    <pic:cNvPr descr="./fig/mPLUG-Owl2%20MLLM%20comparison.png" id="22" name="Picture"/>
                    <pic:cNvPicPr>
                      <a:picLocks noChangeArrowheads="1" noChangeAspect="1"/>
                    </pic:cNvPicPr>
                  </pic:nvPicPr>
                  <pic:blipFill>
                    <a:blip r:embed="rId20"/>
                    <a:stretch>
                      <a:fillRect/>
                    </a:stretch>
                  </pic:blipFill>
                  <pic:spPr bwMode="auto">
                    <a:xfrm>
                      <a:off x="0" y="0"/>
                      <a:ext cx="5334000" cy="7216907"/>
                    </a:xfrm>
                    <a:prstGeom prst="rect">
                      <a:avLst/>
                    </a:prstGeom>
                    <a:noFill/>
                    <a:ln w="9525">
                      <a:noFill/>
                      <a:headEnd/>
                      <a:tailEnd/>
                    </a:ln>
                  </pic:spPr>
                </pic:pic>
              </a:graphicData>
            </a:graphic>
          </wp:inline>
        </w:drawing>
      </w:r>
    </w:p>
    <w:p>
      <w:pPr>
        <w:pStyle w:val="ImageCaption"/>
      </w:pPr>
      <w:r>
        <w:t xml:space="preserve">Fig1</w:t>
      </w:r>
    </w:p>
    <w:p>
      <w:pPr>
        <w:pStyle w:val="BodyText"/>
      </w:pPr>
      <w:r>
        <w:t xml:space="preserve">目前的主要挑战是：运用一个单独的模块来平衡模态联合（多模态）和模态推理（单模态）的增益，保证模态能在多模态的指导数据集上相互交互。</w:t>
      </w:r>
    </w:p>
    <w:bookmarkEnd w:id="23"/>
    <w:bookmarkStart w:id="35" w:name="mplug-owl2"/>
    <w:p>
      <w:pPr>
        <w:pStyle w:val="Heading2"/>
      </w:pPr>
      <w:r>
        <w:t xml:space="preserve">mPLUG-Owl2</w:t>
      </w:r>
    </w:p>
    <w:bookmarkStart w:id="27" w:name="架构介绍"/>
    <w:p>
      <w:pPr>
        <w:pStyle w:val="Heading3"/>
      </w:pPr>
      <w:r>
        <w:t xml:space="preserve">架构介绍</w:t>
      </w:r>
    </w:p>
    <w:p>
      <w:pPr>
        <w:pStyle w:val="FirstParagraph"/>
      </w:pPr>
      <w:r>
        <w:t xml:space="preserve">本文将引入mPLUG-Owl2，一个全能的多模态大模型，它有效利用了模态融合来同时提升文本和多模态任务。</w:t>
      </w:r>
    </w:p>
    <w:p>
      <w:pPr>
        <w:pStyle w:val="CaptionedFigure"/>
      </w:pPr>
      <w:r>
        <w:drawing>
          <wp:inline>
            <wp:extent cx="5334000" cy="2250892"/>
            <wp:effectExtent b="0" l="0" r="0" t="0"/>
            <wp:docPr descr="Fig2" title="" id="25" name="Picture"/>
            <a:graphic>
              <a:graphicData uri="http://schemas.openxmlformats.org/drawingml/2006/picture">
                <pic:pic>
                  <pic:nvPicPr>
                    <pic:cNvPr descr="./fig/mPLUG-Owl2.png" id="26" name="Picture"/>
                    <pic:cNvPicPr>
                      <a:picLocks noChangeArrowheads="1" noChangeAspect="1"/>
                    </pic:cNvPicPr>
                  </pic:nvPicPr>
                  <pic:blipFill>
                    <a:blip r:embed="rId24"/>
                    <a:stretch>
                      <a:fillRect/>
                    </a:stretch>
                  </pic:blipFill>
                  <pic:spPr bwMode="auto">
                    <a:xfrm>
                      <a:off x="0" y="0"/>
                      <a:ext cx="5334000" cy="2250892"/>
                    </a:xfrm>
                    <a:prstGeom prst="rect">
                      <a:avLst/>
                    </a:prstGeom>
                    <a:noFill/>
                    <a:ln w="9525">
                      <a:noFill/>
                      <a:headEnd/>
                      <a:tailEnd/>
                    </a:ln>
                  </pic:spPr>
                </pic:pic>
              </a:graphicData>
            </a:graphic>
          </wp:inline>
        </w:drawing>
      </w:r>
    </w:p>
    <w:p>
      <w:pPr>
        <w:pStyle w:val="ImageCaption"/>
      </w:pPr>
      <w:r>
        <w:t xml:space="preserve">Fig2</w:t>
      </w:r>
    </w:p>
    <w:p>
      <w:pPr>
        <w:pStyle w:val="BodyText"/>
      </w:pPr>
      <w:r>
        <w:t xml:space="preserve">mPLUG-Owl2使用一个模块化的网络结构，包括了一个视觉编码器、一个视觉提炼器、一个文本嵌入层、一个语言解码器。具体来说，本文使用ViT-L/14作为视觉编码器，将LLaMA-2-7B作为语言解码器。</w:t>
      </w:r>
    </w:p>
    <w:p>
      <w:r>
        <w:pict>
          <v:rect style="width:0;height:1.5pt" o:hralign="center" o:hrstd="t" o:hr="t"/>
        </w:pict>
      </w:r>
    </w:p>
    <w:p>
      <w:pPr>
        <w:numPr>
          <w:ilvl w:val="0"/>
          <w:numId w:val="1001"/>
        </w:numPr>
        <w:pStyle w:val="Compact"/>
      </w:pPr>
      <w:r>
        <w:t xml:space="preserve">视觉编码器使用</w:t>
      </w:r>
      <m:oMath>
        <m:r>
          <m:t>H</m:t>
        </m:r>
        <m:r>
          <m:rPr>
            <m:sty m:val="p"/>
          </m:rPr>
          <m:t>×</m:t>
        </m:r>
        <m:r>
          <m:t>W</m:t>
        </m:r>
      </m:oMath>
      <w:r>
        <w:t xml:space="preserve">的分辨率处理输入的图谱，并生成大小为</w:t>
      </w:r>
      <m:oMath>
        <m:f>
          <m:fPr>
            <m:type m:val="bar"/>
          </m:fPr>
          <m:num>
            <m:r>
              <m:t>H</m:t>
            </m:r>
          </m:num>
          <m:den>
            <m:r>
              <m:t>14</m:t>
            </m:r>
          </m:den>
        </m:f>
        <m:r>
          <m:rPr>
            <m:sty m:val="p"/>
          </m:rPr>
          <m:t>×</m:t>
        </m:r>
        <m:f>
          <m:fPr>
            <m:type m:val="bar"/>
          </m:fPr>
          <m:num>
            <m:r>
              <m:t>W</m:t>
            </m:r>
          </m:num>
          <m:den>
            <m:r>
              <m:t>14</m:t>
            </m:r>
          </m:den>
        </m:f>
      </m:oMath>
      <w:r>
        <w:t xml:space="preserve">的token序列。</w:t>
      </w:r>
    </w:p>
    <w:p>
      <w:pPr>
        <w:numPr>
          <w:ilvl w:val="0"/>
          <w:numId w:val="1001"/>
        </w:numPr>
        <w:pStyle w:val="Compact"/>
      </w:pPr>
      <w:r>
        <w:t xml:space="preserve">上述视觉token特征与文本token嵌入合并，喂入语言解码器中。</w:t>
      </w:r>
    </w:p>
    <w:p>
      <w:pPr>
        <w:numPr>
          <w:ilvl w:val="0"/>
          <w:numId w:val="1001"/>
        </w:numPr>
        <w:pStyle w:val="Compact"/>
      </w:pPr>
      <w:r>
        <w:t xml:space="preserve">语言解码器被用作一个处理不同模态的通用接口。这样，视觉和语言模态被映射进一个跨模态共享的语义空间上，同时模态特定特征也有所保留。</w:t>
      </w:r>
    </w:p>
    <w:p>
      <w:r>
        <w:pict>
          <v:rect style="width:0;height:1.5pt" o:hralign="center" o:hrstd="t" o:hr="t"/>
        </w:pict>
      </w:r>
    </w:p>
    <w:p>
      <w:pPr>
        <w:pStyle w:val="FirstParagraph"/>
      </w:pPr>
      <w:r>
        <w:t xml:space="preserve">但是，随着图像分辨率的提升，编码后的视觉token序列会成指数地增长。另外，图像中充分冗余导致了计算上的浪费和不小的噪声。为了解决这个问题，本文提出一个配备有一组固定可学习的请求的</w:t>
      </w:r>
      <w:r>
        <w:rPr>
          <w:bCs/>
          <w:b/>
        </w:rPr>
        <w:t xml:space="preserve">视觉提炼器</w:t>
      </w:r>
      <w:r>
        <w:t xml:space="preserve">来从图像中提取更高的语义特征。</w:t>
      </w:r>
    </w:p>
    <w:p>
      <w:pPr>
        <w:pStyle w:val="BodyText"/>
      </w:pPr>
      <w:r>
        <w:t xml:space="preserve">具体来说，本文喂入提取的视觉token序列</w:t>
      </w:r>
      <m:oMath>
        <m:r>
          <m:rPr>
            <m:sty m:val="p"/>
            <m:scr m:val="script"/>
          </m:rPr>
          <m:t>I</m:t>
        </m:r>
        <m:r>
          <m:rPr>
            <m:sty m:val="p"/>
          </m:rPr>
          <m:t>=</m:t>
        </m:r>
        <m:d>
          <m:dPr>
            <m:begChr m:val="["/>
            <m:endChr m:val="]"/>
            <m:sepChr m:val=""/>
            <m:grow/>
          </m:dPr>
          <m:e>
            <m:sSub>
              <m:e>
                <m:r>
                  <m:t>I</m:t>
                </m:r>
              </m:e>
              <m:sub>
                <m:r>
                  <m:t>1</m:t>
                </m:r>
              </m:sub>
            </m:sSub>
            <m:r>
              <m:rPr>
                <m:sty m:val="p"/>
              </m:rPr>
              <m:t>,</m:t>
            </m:r>
            <m:sSub>
              <m:e>
                <m:r>
                  <m:t>I</m:t>
                </m:r>
              </m:e>
              <m:sub>
                <m:r>
                  <m:t>2</m:t>
                </m:r>
              </m:sub>
            </m:sSub>
            <m:r>
              <m:rPr>
                <m:sty m:val="p"/>
              </m:rPr>
              <m:t>,</m:t>
            </m:r>
            <m:r>
              <m:rPr>
                <m:sty m:val="p"/>
              </m:rPr>
              <m:t>⋯</m:t>
            </m:r>
            <m:r>
              <m:rPr>
                <m:sty m:val="p"/>
              </m:rPr>
              <m:t>,</m:t>
            </m:r>
            <m:sSub>
              <m:e>
                <m:r>
                  <m:t>I</m:t>
                </m:r>
              </m:e>
              <m:sub>
                <m:r>
                  <m:t>P</m:t>
                </m:r>
              </m:sub>
            </m:sSub>
          </m:e>
        </m:d>
        <m:r>
          <m:rPr>
            <m:sty m:val="p"/>
          </m:rPr>
          <m:t>∈</m:t>
        </m:r>
        <m:sSup>
          <m:e>
            <m:r>
              <m:rPr>
                <m:sty m:val="p"/>
                <m:scr m:val="double-struck"/>
              </m:rPr>
              <m:t>R</m:t>
            </m:r>
          </m:e>
          <m:sup>
            <m:r>
              <m:t>P</m:t>
            </m:r>
            <m:r>
              <m:rPr>
                <m:sty m:val="p"/>
              </m:rPr>
              <m:t>×</m:t>
            </m:r>
            <m:r>
              <m:t>d</m:t>
            </m:r>
          </m:sup>
        </m:sSup>
      </m:oMath>
      <w:r>
        <w:t xml:space="preserve">和固定</w:t>
      </w:r>
      <m:oMath>
        <m:r>
          <m:t>K</m:t>
        </m:r>
      </m:oMath>
      <w:r>
        <w:t xml:space="preserve">个的可学习请求</w:t>
      </w:r>
      <m:oMath>
        <m:r>
          <m:rPr>
            <m:sty m:val="p"/>
            <m:scr m:val="script"/>
          </m:rPr>
          <m:t>Q</m:t>
        </m:r>
        <m:r>
          <m:rPr>
            <m:sty m:val="p"/>
          </m:rPr>
          <m:t>∈</m:t>
        </m:r>
        <m:sSup>
          <m:e>
            <m:r>
              <m:rPr>
                <m:sty m:val="p"/>
                <m:scr m:val="double-struck"/>
              </m:rPr>
              <m:t>R</m:t>
            </m:r>
          </m:e>
          <m:sup>
            <m:r>
              <m:t>K</m:t>
            </m:r>
            <m:r>
              <m:rPr>
                <m:sty m:val="p"/>
              </m:rPr>
              <m:t>×</m:t>
            </m:r>
            <m:r>
              <m:t>d</m:t>
            </m:r>
          </m:sup>
        </m:sSup>
      </m:oMath>
      <w:r>
        <w:t xml:space="preserve">进入视觉提炼器。在视觉提炼器中，</w:t>
      </w:r>
      <m:oMath>
        <m:r>
          <m:t>P</m:t>
        </m:r>
        <m:r>
          <m:rPr>
            <m:sty m:val="p"/>
          </m:rPr>
          <m:t>=</m:t>
        </m:r>
        <m:f>
          <m:fPr>
            <m:type m:val="bar"/>
          </m:fPr>
          <m:num>
            <m:r>
              <m:t>H</m:t>
            </m:r>
          </m:num>
          <m:den>
            <m:r>
              <m:t>14</m:t>
            </m:r>
          </m:den>
        </m:f>
        <m:r>
          <m:rPr>
            <m:sty m:val="p"/>
          </m:rPr>
          <m:t>×</m:t>
        </m:r>
        <m:f>
          <m:fPr>
            <m:type m:val="bar"/>
          </m:fPr>
          <m:num>
            <m:r>
              <m:t>W</m:t>
            </m:r>
          </m:num>
          <m:den>
            <m:r>
              <m:t>14</m:t>
            </m:r>
          </m:den>
        </m:f>
      </m:oMath>
      <w:r>
        <w:t xml:space="preserve">表示这视觉patch的数量，</w:t>
      </w:r>
      <m:oMath>
        <m:r>
          <m:t>D</m:t>
        </m:r>
      </m:oMath>
      <w:r>
        <w:t xml:space="preserve">代表隐藏维度。视觉提炼器包含了一系列视觉提炼层。在第</w:t>
      </w:r>
      <m:oMath>
        <m:r>
          <m:t>i</m:t>
        </m:r>
      </m:oMath>
      <w:r>
        <w:t xml:space="preserve">层中，压缩的视觉表示</w:t>
      </w:r>
      <m:oMath>
        <m:r>
          <m:rPr>
            <m:sty m:val="p"/>
            <m:scr m:val="script"/>
          </m:rPr>
          <m:t>V</m:t>
        </m:r>
      </m:oMath>
      <w:r>
        <w:t xml:space="preserve">由如下公式进行计算：</w:t>
      </w:r>
    </w:p>
    <w:p>
      <w:pPr>
        <w:pStyle w:val="BodyText"/>
      </w:pPr>
      <m:oMathPara>
        <m:oMathParaPr>
          <m:jc m:val="center"/>
        </m:oMathParaPr>
        <m:oMath>
          <m:m>
            <m:mPr>
              <m:baseJc m:val="center"/>
              <m:plcHide m:val="1"/>
              <m:mcs>
                <m:mc>
                  <m:mcPr>
                    <m:mcJc m:val="right"/>
                    <m:count m:val="1"/>
                  </m:mcPr>
                </m:mc>
                <m:mc>
                  <m:mcPr>
                    <m:mcJc m:val="left"/>
                    <m:count m:val="1"/>
                  </m:mcPr>
                </m:mc>
              </m:mcs>
            </m:mPr>
            <m:mr>
              <m:e>
                <m:sSup>
                  <m:e>
                    <m:r>
                      <m:rPr>
                        <m:sty m:val="p"/>
                        <m:scr m:val="script"/>
                      </m:rPr>
                      <m:t>C</m:t>
                    </m:r>
                  </m:e>
                  <m:sup>
                    <m:r>
                      <m:t>i</m:t>
                    </m:r>
                  </m:sup>
                </m:sSup>
              </m:e>
              <m:e>
                <m:r>
                  <m:rPr>
                    <m:sty m:val="p"/>
                  </m:rPr>
                  <m:t>=</m:t>
                </m:r>
                <m:r>
                  <m:t>A</m:t>
                </m:r>
                <m:r>
                  <m:t>t</m:t>
                </m:r>
                <m:r>
                  <m:t>t</m:t>
                </m:r>
                <m:r>
                  <m:t>n</m:t>
                </m:r>
                <m:d>
                  <m:dPr>
                    <m:begChr m:val="("/>
                    <m:endChr m:val=")"/>
                    <m:sepChr m:val=""/>
                    <m:grow/>
                  </m:dPr>
                  <m:e>
                    <m:sSup>
                      <m:e>
                        <m:r>
                          <m:rPr>
                            <m:sty m:val="p"/>
                            <m:scr m:val="script"/>
                          </m:rPr>
                          <m:t>V</m:t>
                        </m:r>
                      </m:e>
                      <m:sup>
                        <m:r>
                          <m:t>i</m:t>
                        </m:r>
                      </m:sup>
                    </m:sSup>
                    <m:r>
                      <m:rPr>
                        <m:sty m:val="p"/>
                      </m:rPr>
                      <m:t>,</m:t>
                    </m:r>
                    <m:d>
                      <m:dPr>
                        <m:begChr m:val="["/>
                        <m:endChr m:val="]"/>
                        <m:sepChr m:val=""/>
                        <m:grow/>
                      </m:dPr>
                      <m:e>
                        <m:r>
                          <m:rPr>
                            <m:sty m:val="p"/>
                            <m:scr m:val="script"/>
                          </m:rPr>
                          <m:t>I</m:t>
                        </m:r>
                        <m:r>
                          <m:rPr>
                            <m:sty m:val="p"/>
                          </m:rPr>
                          <m:t>;</m:t>
                        </m:r>
                        <m:sSup>
                          <m:e>
                            <m:r>
                              <m:rPr>
                                <m:sty m:val="p"/>
                                <m:scr m:val="script"/>
                              </m:rPr>
                              <m:t>V</m:t>
                            </m:r>
                          </m:e>
                          <m:sup>
                            <m:r>
                              <m:t>i</m:t>
                            </m:r>
                          </m:sup>
                        </m:sSup>
                      </m:e>
                    </m:d>
                    <m:r>
                      <m:rPr>
                        <m:sty m:val="p"/>
                      </m:rPr>
                      <m:t>,</m:t>
                    </m:r>
                    <m:d>
                      <m:dPr>
                        <m:begChr m:val="["/>
                        <m:endChr m:val="]"/>
                        <m:sepChr m:val=""/>
                        <m:grow/>
                      </m:dPr>
                      <m:e>
                        <m:r>
                          <m:rPr>
                            <m:sty m:val="p"/>
                            <m:scr m:val="script"/>
                          </m:rPr>
                          <m:t>I</m:t>
                        </m:r>
                        <m:r>
                          <m:rPr>
                            <m:sty m:val="p"/>
                          </m:rPr>
                          <m:t>;</m:t>
                        </m:r>
                        <m:sSup>
                          <m:e>
                            <m:r>
                              <m:rPr>
                                <m:sty m:val="p"/>
                                <m:scr m:val="script"/>
                              </m:rPr>
                              <m:t>V</m:t>
                            </m:r>
                          </m:e>
                          <m:sup>
                            <m:r>
                              <m:t>i</m:t>
                            </m:r>
                          </m:sup>
                        </m:sSup>
                      </m:e>
                    </m:d>
                  </m:e>
                </m:d>
              </m:e>
            </m:mr>
            <m:mr>
              <m:e>
                <m:sSup>
                  <m:e>
                    <m:r>
                      <m:rPr>
                        <m:sty m:val="p"/>
                        <m:scr m:val="script"/>
                      </m:rPr>
                      <m:t>V</m:t>
                    </m:r>
                  </m:e>
                  <m:sup>
                    <m:r>
                      <m:t>i</m:t>
                    </m:r>
                    <m:r>
                      <m:rPr>
                        <m:sty m:val="p"/>
                      </m:rPr>
                      <m:t>+</m:t>
                    </m:r>
                    <m:r>
                      <m:t>1</m:t>
                    </m:r>
                  </m:sup>
                </m:sSup>
              </m:e>
              <m:e>
                <m:r>
                  <m:rPr>
                    <m:sty m:val="p"/>
                  </m:rPr>
                  <m:t>=</m:t>
                </m:r>
                <m:r>
                  <m:t>S</m:t>
                </m:r>
                <m:r>
                  <m:t>w</m:t>
                </m:r>
                <m:r>
                  <m:t>i</m:t>
                </m:r>
                <m:r>
                  <m:t>G</m:t>
                </m:r>
                <m:r>
                  <m:t>L</m:t>
                </m:r>
                <m:r>
                  <m:t>U</m:t>
                </m:r>
                <m:d>
                  <m:dPr>
                    <m:begChr m:val="("/>
                    <m:endChr m:val=")"/>
                    <m:sepChr m:val=""/>
                    <m:grow/>
                  </m:dPr>
                  <m:e>
                    <m:sSup>
                      <m:e>
                        <m:r>
                          <m:rPr>
                            <m:sty m:val="p"/>
                            <m:scr m:val="script"/>
                          </m:rPr>
                          <m:t>C</m:t>
                        </m:r>
                      </m:e>
                      <m:sup>
                        <m:r>
                          <m:t>i</m:t>
                        </m:r>
                      </m:sup>
                    </m:sSup>
                    <m:sSub>
                      <m:e>
                        <m:r>
                          <m:t>W</m:t>
                        </m:r>
                      </m:e>
                      <m:sub>
                        <m:r>
                          <m:t>1</m:t>
                        </m:r>
                      </m:sub>
                    </m:sSub>
                  </m:e>
                </m:d>
                <m:sSub>
                  <m:e>
                    <m:r>
                      <m:t>W</m:t>
                    </m:r>
                  </m:e>
                  <m:sub>
                    <m:r>
                      <m:t>2</m:t>
                    </m:r>
                  </m:sub>
                </m:sSub>
              </m:e>
            </m:mr>
          </m:m>
        </m:oMath>
      </m:oMathPara>
    </w:p>
    <w:p>
      <w:pPr>
        <w:pStyle w:val="FirstParagraph"/>
      </w:pPr>
      <w:r>
        <w:t xml:space="preserve">其中，</w:t>
      </w:r>
      <m:oMath>
        <m:r>
          <m:t>A</m:t>
        </m:r>
        <m:r>
          <m:t>t</m:t>
        </m:r>
        <m:r>
          <m:t>t</m:t>
        </m:r>
        <m:r>
          <m:t>n</m:t>
        </m:r>
        <m:d>
          <m:dPr>
            <m:begChr m:val="("/>
            <m:endChr m:val=")"/>
            <m:sepChr m:val=""/>
            <m:grow/>
          </m:dPr>
          <m:e>
            <m:r>
              <m:rPr>
                <m:sty m:val="p"/>
              </m:rPr>
              <m:t>⋅</m:t>
            </m:r>
            <m:r>
              <m:rPr>
                <m:sty m:val="p"/>
              </m:rPr>
              <m:t>,</m:t>
            </m:r>
            <m:r>
              <m:rPr>
                <m:sty m:val="p"/>
              </m:rPr>
              <m:t>⋅</m:t>
            </m:r>
            <m:r>
              <m:rPr>
                <m:sty m:val="p"/>
              </m:rPr>
              <m:t>,</m:t>
            </m:r>
            <m:r>
              <m:rPr>
                <m:sty m:val="p"/>
              </m:rPr>
              <m:t>⋅</m:t>
            </m:r>
          </m:e>
        </m:d>
      </m:oMath>
      <w:r>
        <w:t xml:space="preserve">表示自注意力函数、</w:t>
      </w:r>
      <m:oMath>
        <m:sSub>
          <m:e>
            <m:r>
              <m:t>W</m:t>
            </m:r>
          </m:e>
          <m:sub>
            <m:r>
              <m:t>1</m:t>
            </m:r>
          </m:sub>
        </m:sSub>
        <m:r>
          <m:rPr>
            <m:sty m:val="p"/>
          </m:rPr>
          <m:t>∈</m:t>
        </m:r>
        <m:sSup>
          <m:e>
            <m:r>
              <m:rPr>
                <m:sty m:val="p"/>
                <m:scr m:val="double-struck"/>
              </m:rPr>
              <m:t>R</m:t>
            </m:r>
          </m:e>
          <m:sup>
            <m:r>
              <m:t>d</m:t>
            </m:r>
            <m:r>
              <m:rPr>
                <m:sty m:val="p"/>
              </m:rPr>
              <m:t>×</m:t>
            </m:r>
            <m:r>
              <m:t>d</m:t>
            </m:r>
            <m:r>
              <m:rPr>
                <m:sty m:val="p"/>
              </m:rPr>
              <m:t>′</m:t>
            </m:r>
          </m:sup>
        </m:sSup>
      </m:oMath>
      <w:r>
        <w:t xml:space="preserve">和</w:t>
      </w:r>
      <m:oMath>
        <m:sSub>
          <m:e>
            <m:r>
              <m:t>W</m:t>
            </m:r>
          </m:e>
          <m:sub>
            <m:r>
              <m:t>1</m:t>
            </m:r>
          </m:sub>
        </m:sSub>
        <m:r>
          <m:rPr>
            <m:sty m:val="p"/>
          </m:rPr>
          <m:t>∈</m:t>
        </m:r>
        <m:sSup>
          <m:e>
            <m:r>
              <m:rPr>
                <m:sty m:val="p"/>
                <m:scr m:val="double-struck"/>
              </m:rPr>
              <m:t>R</m:t>
            </m:r>
          </m:e>
          <m:sup>
            <m:r>
              <m:t>d</m:t>
            </m:r>
            <m:r>
              <m:rPr>
                <m:sty m:val="p"/>
              </m:rPr>
              <m:t>′</m:t>
            </m:r>
            <m:r>
              <m:rPr>
                <m:sty m:val="p"/>
              </m:rPr>
              <m:t>×</m:t>
            </m:r>
            <m:r>
              <m:t>d</m:t>
            </m:r>
          </m:sup>
        </m:sSup>
      </m:oMath>
      <w:r>
        <w:t xml:space="preserve">为可学习的参数、</w:t>
      </w:r>
      <m:oMath>
        <m:r>
          <m:t>S</m:t>
        </m:r>
        <m:r>
          <m:t>w</m:t>
        </m:r>
        <m:r>
          <m:t>i</m:t>
        </m:r>
        <m:r>
          <m:t>G</m:t>
        </m:r>
        <m:r>
          <m:t>L</m:t>
        </m:r>
        <m:r>
          <m:t>U</m:t>
        </m:r>
        <m:d>
          <m:dPr>
            <m:begChr m:val="("/>
            <m:endChr m:val=")"/>
            <m:sepChr m:val=""/>
            <m:grow/>
          </m:dPr>
          <m:e>
            <m:r>
              <m:rPr>
                <m:sty m:val="p"/>
              </m:rPr>
              <m:t>⋯</m:t>
            </m:r>
          </m:e>
        </m:d>
      </m:oMath>
      <w:r>
        <w:t xml:space="preserve">为SwiGLU激活函数。本文将</w:t>
      </w:r>
      <m:oMath>
        <m:sSup>
          <m:e>
            <m:r>
              <m:rPr>
                <m:sty m:val="p"/>
                <m:scr m:val="script"/>
              </m:rPr>
              <m:t>V</m:t>
            </m:r>
          </m:e>
          <m:sup>
            <m:r>
              <m:t>0</m:t>
            </m:r>
          </m:sup>
        </m:sSup>
        <m:r>
          <m:rPr>
            <m:sty m:val="p"/>
          </m:rPr>
          <m:t>=</m:t>
        </m:r>
        <m:r>
          <m:rPr>
            <m:sty m:val="p"/>
            <m:scr m:val="script"/>
          </m:rPr>
          <m:t>Q</m:t>
        </m:r>
      </m:oMath>
      <w:r>
        <w:t xml:space="preserve">来初始化提炼。（注意一下，注意力函数的输出和第一个参数大小一样）</w:t>
      </w:r>
    </w:p>
    <w:p>
      <w:pPr>
        <w:pStyle w:val="BodyText"/>
      </w:pPr>
      <w:r>
        <w:t xml:space="preserve">此外，为了增强细粒度感知能力，本文将正弦位置嵌入和视觉特征</w:t>
      </w:r>
      <m:oMath>
        <m:r>
          <m:rPr>
            <m:sty m:val="p"/>
            <m:scr m:val="script"/>
          </m:rPr>
          <m:t>I</m:t>
        </m:r>
      </m:oMath>
      <w:r>
        <w:t xml:space="preserve">、</w:t>
      </w:r>
      <m:oMath>
        <m:sSup>
          <m:e>
            <m:r>
              <m:rPr>
                <m:sty m:val="p"/>
                <m:scr m:val="script"/>
              </m:rPr>
              <m:t>V</m:t>
            </m:r>
          </m:e>
          <m:sup>
            <m:r>
              <m:t>i</m:t>
            </m:r>
          </m:sup>
        </m:sSup>
      </m:oMath>
      <w:r>
        <w:t xml:space="preserve">进行整合，从而保留文职信息，相关论文论证了这一处理的有效性。</w:t>
      </w:r>
    </w:p>
    <w:p>
      <w:r>
        <w:pict>
          <v:rect style="width:0;height:1.5pt" o:hralign="center" o:hrstd="t" o:hr="t"/>
        </w:pict>
      </w:r>
    </w:p>
    <w:p>
      <w:pPr>
        <w:pStyle w:val="FirstParagraph"/>
      </w:pPr>
      <w:r>
        <w:t xml:space="preserve">通过上述方法，语言解码器的计算量从</w:t>
      </w:r>
      <m:oMath>
        <m:r>
          <m:t>O</m:t>
        </m:r>
        <m:d>
          <m:dPr>
            <m:begChr m:val="("/>
            <m:endChr m:val=")"/>
            <m:sepChr m:val=""/>
            <m:grow/>
          </m:dPr>
          <m:e>
            <m:sSup>
              <m:e>
                <m:d>
                  <m:dPr>
                    <m:begChr m:val="("/>
                    <m:endChr m:val=")"/>
                    <m:sepChr m:val=""/>
                    <m:grow/>
                  </m:dPr>
                  <m:e>
                    <m:r>
                      <m:t>P</m:t>
                    </m:r>
                    <m:r>
                      <m:rPr>
                        <m:sty m:val="p"/>
                      </m:rPr>
                      <m:t>+</m:t>
                    </m:r>
                    <m:r>
                      <m:t>L</m:t>
                    </m:r>
                  </m:e>
                </m:d>
              </m:e>
              <m:sup>
                <m:r>
                  <m:t>2</m:t>
                </m:r>
              </m:sup>
            </m:sSup>
          </m:e>
        </m:d>
      </m:oMath>
      <w:r>
        <w:t xml:space="preserve">降为了</w:t>
      </w:r>
      <m:oMath>
        <m:r>
          <m:t>O</m:t>
        </m:r>
        <m:d>
          <m:dPr>
            <m:begChr m:val="("/>
            <m:endChr m:val=")"/>
            <m:sepChr m:val=""/>
            <m:grow/>
          </m:dPr>
          <m:e>
            <m:sSup>
              <m:e>
                <m:d>
                  <m:dPr>
                    <m:begChr m:val="("/>
                    <m:endChr m:val=")"/>
                    <m:sepChr m:val=""/>
                    <m:grow/>
                  </m:dPr>
                  <m:e>
                    <m:r>
                      <m:t>K</m:t>
                    </m:r>
                    <m:r>
                      <m:rPr>
                        <m:sty m:val="p"/>
                      </m:rPr>
                      <m:t>+</m:t>
                    </m:r>
                    <m:r>
                      <m:t>L</m:t>
                    </m:r>
                  </m:e>
                </m:d>
              </m:e>
              <m:sup>
                <m:r>
                  <m:t>2</m:t>
                </m:r>
              </m:sup>
            </m:sSup>
          </m:e>
        </m:d>
      </m:oMath>
      <w:r>
        <w:t xml:space="preserve">，如果</w:t>
      </w:r>
      <m:oMath>
        <m:r>
          <m:t>P</m:t>
        </m:r>
        <m:r>
          <m:rPr>
            <m:sty m:val="p"/>
          </m:rPr>
          <m:t>≫</m:t>
        </m:r>
        <m:r>
          <m:t>K</m:t>
        </m:r>
      </m:oMath>
      <w:r>
        <w:t xml:space="preserve">就会很大程度减少计算负载，这对那些图片数量很多、文本长度</w:t>
      </w:r>
      <m:oMath>
        <m:r>
          <m:t>L</m:t>
        </m:r>
      </m:oMath>
      <w:r>
        <w:t xml:space="preserve">很短的场景很友好。一旦压缩后的视觉特征被获取了，它会与文本token特征合并，通过语言解码器来生成预测。</w:t>
      </w:r>
    </w:p>
    <w:bookmarkEnd w:id="27"/>
    <w:bookmarkStart w:id="33" w:name="模态适应模块"/>
    <w:p>
      <w:pPr>
        <w:pStyle w:val="Heading3"/>
      </w:pPr>
      <w:r>
        <w:t xml:space="preserve">模态适应模块</w:t>
      </w:r>
    </w:p>
    <w:p>
      <w:pPr>
        <w:pStyle w:val="FirstParagraph"/>
      </w:pPr>
      <w:r>
        <w:t xml:space="preserve">先前的方法将视觉特征映射到语言语义空间上会导致颗粒度的不匹配（视觉特征含有丰富的语义信息、文本特征只含有零散的语义信息），从而限制了模型的表现。</w:t>
      </w:r>
    </w:p>
    <w:p>
      <w:pPr>
        <w:pStyle w:val="BodyText"/>
      </w:pPr>
      <w:r>
        <w:t xml:space="preserve">mPLUG-Owl2引入一个模态适应模块来保留特定模态特征（MAM），通过将视觉特征和语言特征映射到共享的语义空间上，从而分离视觉语言表示。同时，也保留了各个模态的独特特性。</w:t>
      </w:r>
    </w:p>
    <w:p>
      <w:pPr>
        <w:pStyle w:val="CaptionedFigure"/>
      </w:pPr>
      <w:r>
        <w:drawing>
          <wp:inline>
            <wp:extent cx="5334000" cy="2250892"/>
            <wp:effectExtent b="0" l="0" r="0" t="0"/>
            <wp:docPr descr="Fig2" title="" id="28" name="Picture"/>
            <a:graphic>
              <a:graphicData uri="http://schemas.openxmlformats.org/drawingml/2006/picture">
                <pic:pic>
                  <pic:nvPicPr>
                    <pic:cNvPr descr="./fig/mPLUG-Owl2.png" id="29" name="Picture"/>
                    <pic:cNvPicPr>
                      <a:picLocks noChangeArrowheads="1" noChangeAspect="1"/>
                    </pic:cNvPicPr>
                  </pic:nvPicPr>
                  <pic:blipFill>
                    <a:blip r:embed="rId24"/>
                    <a:stretch>
                      <a:fillRect/>
                    </a:stretch>
                  </pic:blipFill>
                  <pic:spPr bwMode="auto">
                    <a:xfrm>
                      <a:off x="0" y="0"/>
                      <a:ext cx="5334000" cy="2250892"/>
                    </a:xfrm>
                    <a:prstGeom prst="rect">
                      <a:avLst/>
                    </a:prstGeom>
                    <a:noFill/>
                    <a:ln w="9525">
                      <a:noFill/>
                      <a:headEnd/>
                      <a:tailEnd/>
                    </a:ln>
                  </pic:spPr>
                </pic:pic>
              </a:graphicData>
            </a:graphic>
          </wp:inline>
        </w:drawing>
      </w:r>
    </w:p>
    <w:p>
      <w:pPr>
        <w:pStyle w:val="ImageCaption"/>
      </w:pPr>
      <w:r>
        <w:t xml:space="preserve">Fig2</w:t>
      </w:r>
    </w:p>
    <w:p>
      <w:pPr>
        <w:pStyle w:val="BodyText"/>
      </w:pPr>
      <w:r>
        <w:t xml:space="preserve">具体来说，给定一个视觉语言序列</w:t>
      </w:r>
      <m:oMath>
        <m:r>
          <m:t>X</m:t>
        </m:r>
        <m:r>
          <m:rPr>
            <m:sty m:val="p"/>
          </m:rPr>
          <m:t>∈</m:t>
        </m:r>
        <m:sSup>
          <m:e>
            <m:r>
              <m:rPr>
                <m:sty m:val="p"/>
                <m:scr m:val="double-struck"/>
              </m:rPr>
              <m:t>R</m:t>
            </m:r>
          </m:e>
          <m:sup>
            <m:d>
              <m:dPr>
                <m:begChr m:val="("/>
                <m:endChr m:val=")"/>
                <m:sepChr m:val=""/>
                <m:grow/>
              </m:dPr>
              <m:e>
                <m:sSub>
                  <m:e>
                    <m:r>
                      <m:t>L</m:t>
                    </m:r>
                  </m:e>
                  <m:sub>
                    <m:r>
                      <m:t>V</m:t>
                    </m:r>
                  </m:sub>
                </m:sSub>
                <m:r>
                  <m:rPr>
                    <m:sty m:val="p"/>
                  </m:rPr>
                  <m:t>+</m:t>
                </m:r>
                <m:sSub>
                  <m:e>
                    <m:r>
                      <m:t>L</m:t>
                    </m:r>
                  </m:e>
                  <m:sub>
                    <m:r>
                      <m:t>T</m:t>
                    </m:r>
                  </m:sub>
                </m:sSub>
              </m:e>
            </m:d>
            <m:r>
              <m:rPr>
                <m:sty m:val="p"/>
              </m:rPr>
              <m:t>×</m:t>
            </m:r>
            <m:r>
              <m:t>d</m:t>
            </m:r>
          </m:sup>
        </m:sSup>
      </m:oMath>
      <w:r>
        <w:t xml:space="preserve">和模态指示器</w:t>
      </w:r>
      <m:oMath>
        <m:r>
          <m:t>M</m:t>
        </m:r>
        <m:r>
          <m:rPr>
            <m:sty m:val="p"/>
          </m:rPr>
          <m:t>∈</m:t>
        </m:r>
        <m:r>
          <m:rPr>
            <m:sty m:val="p"/>
          </m:rPr>
          <m:t>{</m:t>
        </m:r>
        <m:r>
          <m:t>0</m:t>
        </m:r>
        <m:r>
          <m:rPr>
            <m:sty m:val="p"/>
          </m:rPr>
          <m:t>,</m:t>
        </m:r>
        <m:r>
          <m:t>1</m:t>
        </m:r>
        <m:sSup>
          <m:e>
            <m:r>
              <m:rPr>
                <m:sty m:val="p"/>
              </m:rPr>
              <m:t>}</m:t>
            </m:r>
          </m:e>
          <m:sup>
            <m:d>
              <m:dPr>
                <m:begChr m:val="("/>
                <m:endChr m:val=")"/>
                <m:sepChr m:val=""/>
                <m:grow/>
              </m:dPr>
              <m:e>
                <m:sSub>
                  <m:e>
                    <m:r>
                      <m:t>L</m:t>
                    </m:r>
                  </m:e>
                  <m:sub>
                    <m:r>
                      <m:t>v</m:t>
                    </m:r>
                  </m:sub>
                </m:sSub>
                <m:r>
                  <m:rPr>
                    <m:sty m:val="p"/>
                  </m:rPr>
                  <m:t>+</m:t>
                </m:r>
                <m:sSub>
                  <m:e>
                    <m:r>
                      <m:t>L</m:t>
                    </m:r>
                  </m:e>
                  <m:sub>
                    <m:r>
                      <m:t>T</m:t>
                    </m:r>
                  </m:sub>
                </m:sSub>
              </m:e>
            </m:d>
          </m:sup>
        </m:sSup>
      </m:oMath>
      <w:r>
        <w:t xml:space="preserve">，模态分离函数</w:t>
      </w:r>
      <m:oMath>
        <m:r>
          <m:t>ϕ</m:t>
        </m:r>
      </m:oMath>
      <w:r>
        <w:t xml:space="preserve">如下所示：</w:t>
      </w:r>
    </w:p>
    <w:p>
      <w:pPr>
        <w:pStyle w:val="BodyText"/>
      </w:pPr>
      <m:oMathPara>
        <m:oMathParaPr>
          <m:jc m:val="center"/>
        </m:oMathParaPr>
        <m:oMath>
          <m:r>
            <m:t>ϕ</m:t>
          </m:r>
          <m:d>
            <m:dPr>
              <m:begChr m:val="("/>
              <m:endChr m:val=")"/>
              <m:sepChr m:val=""/>
              <m:grow/>
            </m:dPr>
            <m:e>
              <m:r>
                <m:t>X</m:t>
              </m:r>
              <m:r>
                <m:rPr>
                  <m:sty m:val="p"/>
                </m:rPr>
                <m:t>,</m:t>
              </m:r>
              <m:r>
                <m:t>M</m:t>
              </m:r>
              <m:r>
                <m:rPr>
                  <m:sty m:val="p"/>
                </m:rPr>
                <m:t>,</m:t>
              </m:r>
              <m:r>
                <m:t>m</m:t>
              </m:r>
            </m:e>
          </m:d>
          <m:r>
            <m:rPr>
              <m:sty m:val="p"/>
            </m:rPr>
            <m:t>=</m:t>
          </m:r>
          <m:r>
            <m:t>X</m:t>
          </m:r>
          <m:r>
            <m:rPr>
              <m:sty m:val="p"/>
            </m:rPr>
            <m:t>⊙</m:t>
          </m:r>
          <m:sSub>
            <m:e>
              <m:r>
                <m:rPr>
                  <m:sty m:val="p"/>
                  <m:scr m:val="double-struck"/>
                </m:rPr>
                <m:t>1</m:t>
              </m:r>
            </m:e>
            <m:sub>
              <m:r>
                <m:rPr>
                  <m:sty m:val="p"/>
                </m:rPr>
                <m:t>{</m:t>
              </m:r>
              <m:r>
                <m:t>M</m:t>
              </m:r>
              <m:r>
                <m:rPr>
                  <m:sty m:val="p"/>
                </m:rPr>
                <m:t>=</m:t>
              </m:r>
              <m:r>
                <m:t>m</m:t>
              </m:r>
              <m:r>
                <m:rPr>
                  <m:sty m:val="p"/>
                </m:rPr>
                <m:t>}</m:t>
              </m:r>
            </m:sub>
          </m:sSub>
        </m:oMath>
      </m:oMathPara>
    </w:p>
    <w:p>
      <w:pPr>
        <w:pStyle w:val="FirstParagraph"/>
      </w:pPr>
      <w:r>
        <w:t xml:space="preserve">其中</w:t>
      </w:r>
      <m:oMath>
        <m:r>
          <m:t>m</m:t>
        </m:r>
        <m:r>
          <m:rPr>
            <m:sty m:val="p"/>
          </m:rPr>
          <m:t>∈</m:t>
        </m:r>
        <m:r>
          <m:rPr>
            <m:sty m:val="p"/>
          </m:rPr>
          <m:t>{</m:t>
        </m:r>
        <m:r>
          <m:t>0</m:t>
        </m:r>
        <m:r>
          <m:rPr>
            <m:sty m:val="p"/>
          </m:rPr>
          <m:t>,</m:t>
        </m:r>
        <m:r>
          <m:t>1</m:t>
        </m:r>
        <m:r>
          <m:rPr>
            <m:sty m:val="p"/>
          </m:rPr>
          <m:t>}</m:t>
        </m:r>
      </m:oMath>
      <w:r>
        <w:t xml:space="preserve">为模态类型。给定先前层的输出向量</w:t>
      </w:r>
      <m:oMath>
        <m:sSub>
          <m:e>
            <m:r>
              <m:t>H</m:t>
            </m:r>
          </m:e>
          <m:sub>
            <m:r>
              <m:t>l</m:t>
            </m:r>
            <m:r>
              <m:rPr>
                <m:sty m:val="p"/>
              </m:rPr>
              <m:t>−</m:t>
            </m:r>
            <m:r>
              <m:t>1</m:t>
            </m:r>
          </m:sub>
        </m:sSub>
        <m:r>
          <m:rPr>
            <m:sty m:val="p"/>
          </m:rPr>
          <m:t>,</m:t>
        </m:r>
        <m:r>
          <m:t>l</m:t>
        </m:r>
        <m:r>
          <m:rPr>
            <m:sty m:val="p"/>
          </m:rPr>
          <m:t>∈</m:t>
        </m:r>
        <m:d>
          <m:dPr>
            <m:begChr m:val="["/>
            <m:endChr m:val="]"/>
            <m:sepChr m:val=""/>
            <m:grow/>
          </m:dPr>
          <m:e>
            <m:r>
              <m:t>1</m:t>
            </m:r>
            <m:r>
              <m:rPr>
                <m:sty m:val="p"/>
              </m:rPr>
              <m:t>,</m:t>
            </m:r>
            <m:r>
              <m:t>L</m:t>
            </m:r>
          </m:e>
        </m:d>
      </m:oMath>
      <w:r>
        <w:t xml:space="preserve">，其中</w:t>
      </w:r>
      <m:oMath>
        <m:r>
          <m:t>L</m:t>
        </m:r>
      </m:oMath>
      <w:r>
        <w:t xml:space="preserve">为语言解码器的层数。本文首先将不同的模态标准化为相同的量级：</w:t>
      </w:r>
    </w:p>
    <w:p>
      <w:pPr>
        <w:pStyle w:val="BodyText"/>
      </w:pPr>
      <m:oMathPara>
        <m:oMathParaPr>
          <m:jc m:val="center"/>
        </m:oMathParaPr>
        <m:oMath>
          <m:sSub>
            <m:e>
              <m:acc>
                <m:accPr>
                  <m:chr m:val="̃"/>
                </m:accPr>
                <m:e>
                  <m:r>
                    <m:t>H</m:t>
                  </m:r>
                </m:e>
              </m:acc>
            </m:e>
            <m:sub>
              <m:r>
                <m:t>l</m:t>
              </m:r>
              <m:r>
                <m:rPr>
                  <m:sty m:val="p"/>
                </m:rPr>
                <m:t>−</m:t>
              </m:r>
              <m:r>
                <m:t>1</m:t>
              </m:r>
            </m:sub>
          </m:sSub>
          <m:r>
            <m:rPr>
              <m:sty m:val="p"/>
            </m:rPr>
            <m:t>=</m:t>
          </m:r>
          <m:r>
            <m:t>L</m:t>
          </m:r>
          <m:sSub>
            <m:e>
              <m:r>
                <m:t>N</m:t>
              </m:r>
            </m:e>
            <m:sub>
              <m:r>
                <m:t>V</m:t>
              </m:r>
            </m:sub>
          </m:sSub>
          <m:d>
            <m:dPr>
              <m:begChr m:val="("/>
              <m:endChr m:val=")"/>
              <m:sepChr m:val=""/>
              <m:grow/>
            </m:dPr>
            <m:e>
              <m:r>
                <m:t>ϕ</m:t>
              </m:r>
              <m:d>
                <m:dPr>
                  <m:begChr m:val="("/>
                  <m:endChr m:val=")"/>
                  <m:sepChr m:val=""/>
                  <m:grow/>
                </m:dPr>
                <m:e>
                  <m:sSub>
                    <m:e>
                      <m:r>
                        <m:t>H</m:t>
                      </m:r>
                    </m:e>
                    <m:sub>
                      <m:r>
                        <m:t>l</m:t>
                      </m:r>
                      <m:r>
                        <m:rPr>
                          <m:sty m:val="p"/>
                        </m:rPr>
                        <m:t>−</m:t>
                      </m:r>
                      <m:r>
                        <m:t>1</m:t>
                      </m:r>
                    </m:sub>
                  </m:sSub>
                  <m:r>
                    <m:rPr>
                      <m:sty m:val="p"/>
                    </m:rPr>
                    <m:t>,</m:t>
                  </m:r>
                  <m:r>
                    <m:t>M</m:t>
                  </m:r>
                  <m:r>
                    <m:rPr>
                      <m:sty m:val="p"/>
                    </m:rPr>
                    <m:t>,</m:t>
                  </m:r>
                  <m:r>
                    <m:t>0</m:t>
                  </m:r>
                </m:e>
              </m:d>
            </m:e>
          </m:d>
          <m:r>
            <m:rPr>
              <m:sty m:val="p"/>
            </m:rPr>
            <m:t>+</m:t>
          </m:r>
          <m:r>
            <m:t>L</m:t>
          </m:r>
          <m:sSub>
            <m:e>
              <m:r>
                <m:t>N</m:t>
              </m:r>
            </m:e>
            <m:sub>
              <m:r>
                <m:t>T</m:t>
              </m:r>
            </m:sub>
          </m:sSub>
          <m:d>
            <m:dPr>
              <m:begChr m:val="("/>
              <m:endChr m:val=")"/>
              <m:sepChr m:val=""/>
              <m:grow/>
            </m:dPr>
            <m:e>
              <m:r>
                <m:t>ϕ</m:t>
              </m:r>
              <m:d>
                <m:dPr>
                  <m:begChr m:val="("/>
                  <m:endChr m:val=")"/>
                  <m:sepChr m:val=""/>
                  <m:grow/>
                </m:dPr>
                <m:e>
                  <m:sSub>
                    <m:e>
                      <m:r>
                        <m:t>H</m:t>
                      </m:r>
                    </m:e>
                    <m:sub>
                      <m:r>
                        <m:t>l</m:t>
                      </m:r>
                      <m:r>
                        <m:rPr>
                          <m:sty m:val="p"/>
                        </m:rPr>
                        <m:t>−</m:t>
                      </m:r>
                      <m:r>
                        <m:t>1</m:t>
                      </m:r>
                    </m:sub>
                  </m:sSub>
                  <m:r>
                    <m:rPr>
                      <m:sty m:val="p"/>
                    </m:rPr>
                    <m:t>,</m:t>
                  </m:r>
                  <m:r>
                    <m:t>M</m:t>
                  </m:r>
                  <m:r>
                    <m:rPr>
                      <m:sty m:val="p"/>
                    </m:rPr>
                    <m:t>,</m:t>
                  </m:r>
                  <m:r>
                    <m:t>1</m:t>
                  </m:r>
                </m:e>
              </m:d>
            </m:e>
          </m:d>
        </m:oMath>
      </m:oMathPara>
    </w:p>
    <w:p>
      <w:pPr>
        <w:pStyle w:val="CaptionedFigure"/>
      </w:pPr>
      <w:r>
        <w:drawing>
          <wp:inline>
            <wp:extent cx="5334000" cy="4083106"/>
            <wp:effectExtent b="0" l="0" r="0" t="0"/>
            <wp:docPr descr="Fig3" title="" id="31" name="Picture"/>
            <a:graphic>
              <a:graphicData uri="http://schemas.openxmlformats.org/drawingml/2006/picture">
                <pic:pic>
                  <pic:nvPicPr>
                    <pic:cNvPr descr="./fig/batch%20norm%20&amp;%20layer%20norm.png" id="32" name="Picture"/>
                    <pic:cNvPicPr>
                      <a:picLocks noChangeArrowheads="1" noChangeAspect="1"/>
                    </pic:cNvPicPr>
                  </pic:nvPicPr>
                  <pic:blipFill>
                    <a:blip r:embed="rId30"/>
                    <a:stretch>
                      <a:fillRect/>
                    </a:stretch>
                  </pic:blipFill>
                  <pic:spPr bwMode="auto">
                    <a:xfrm>
                      <a:off x="0" y="0"/>
                      <a:ext cx="5334000" cy="4083106"/>
                    </a:xfrm>
                    <a:prstGeom prst="rect">
                      <a:avLst/>
                    </a:prstGeom>
                    <a:noFill/>
                    <a:ln w="9525">
                      <a:noFill/>
                      <a:headEnd/>
                      <a:tailEnd/>
                    </a:ln>
                  </pic:spPr>
                </pic:pic>
              </a:graphicData>
            </a:graphic>
          </wp:inline>
        </w:drawing>
      </w:r>
    </w:p>
    <w:p>
      <w:pPr>
        <w:pStyle w:val="ImageCaption"/>
      </w:pPr>
      <w:r>
        <w:t xml:space="preserve">Fig3</w:t>
      </w:r>
    </w:p>
    <w:p>
      <w:pPr>
        <w:pStyle w:val="BodyText"/>
      </w:pPr>
      <w:r>
        <w:t xml:space="preserve">其中</w:t>
      </w:r>
      <m:oMath>
        <m:r>
          <m:t>L</m:t>
        </m:r>
        <m:sSub>
          <m:e>
            <m:r>
              <m:t>N</m:t>
            </m:r>
          </m:e>
          <m:sub>
            <m:r>
              <m:t>V</m:t>
            </m:r>
          </m:sub>
        </m:sSub>
      </m:oMath>
      <w:r>
        <w:t xml:space="preserve">和</w:t>
      </w:r>
      <m:oMath>
        <m:r>
          <m:t>L</m:t>
        </m:r>
        <m:sSub>
          <m:e>
            <m:r>
              <m:t>N</m:t>
            </m:r>
          </m:e>
          <m:sub>
            <m:r>
              <m:t>T</m:t>
            </m:r>
          </m:sub>
        </m:sSub>
      </m:oMath>
      <w:r>
        <w:t xml:space="preserve">分别为视觉特征和语言特征的layer normalization。之后，本文通过对key投射矩阵和value投射举证使用分离线性映射层，构建出自注意力函数。同时，保留了query投射矩阵。公式如下所示：</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H</m:t>
                    </m:r>
                  </m:e>
                  <m:sub>
                    <m:r>
                      <m:t>l</m:t>
                    </m:r>
                  </m:sub>
                  <m:sup>
                    <m:r>
                      <m:t>Q</m:t>
                    </m:r>
                  </m:sup>
                </m:sSubSup>
              </m:e>
              <m:e>
                <m:r>
                  <m:rPr>
                    <m:sty m:val="p"/>
                  </m:rPr>
                  <m:t>=</m:t>
                </m:r>
                <m:sSub>
                  <m:e>
                    <m:acc>
                      <m:accPr>
                        <m:chr m:val="̃"/>
                      </m:accPr>
                      <m:e>
                        <m:r>
                          <m:t>H</m:t>
                        </m:r>
                      </m:e>
                    </m:acc>
                  </m:e>
                  <m:sub>
                    <m:r>
                      <m:t>l</m:t>
                    </m:r>
                    <m:r>
                      <m:rPr>
                        <m:sty m:val="p"/>
                      </m:rPr>
                      <m:t>−</m:t>
                    </m:r>
                    <m:r>
                      <m:t>1</m:t>
                    </m:r>
                  </m:sub>
                </m:sSub>
                <m:sSubSup>
                  <m:e>
                    <m:r>
                      <m:t>W</m:t>
                    </m:r>
                  </m:e>
                  <m:sub>
                    <m:r>
                      <m:t>l</m:t>
                    </m:r>
                  </m:sub>
                  <m:sup>
                    <m:r>
                      <m:t>Q</m:t>
                    </m:r>
                  </m:sup>
                </m:sSubSup>
              </m:e>
            </m:mr>
            <m:mr>
              <m:e>
                <m:sSubSup>
                  <m:e>
                    <m:r>
                      <m:t>H</m:t>
                    </m:r>
                  </m:e>
                  <m:sub>
                    <m:r>
                      <m:t>l</m:t>
                    </m:r>
                  </m:sub>
                  <m:sup>
                    <m:r>
                      <m:t>K</m:t>
                    </m:r>
                  </m:sup>
                </m:sSubSup>
              </m:e>
              <m:e>
                <m:r>
                  <m:rPr>
                    <m:sty m:val="p"/>
                  </m:rPr>
                  <m:t>=</m:t>
                </m:r>
                <m:r>
                  <m:t>ϕ</m:t>
                </m:r>
                <m:d>
                  <m:dPr>
                    <m:begChr m:val="("/>
                    <m:endChr m:val=")"/>
                    <m:sepChr m:val=""/>
                    <m:grow/>
                  </m:dPr>
                  <m:e>
                    <m:sSub>
                      <m:e>
                        <m:acc>
                          <m:accPr>
                            <m:chr m:val="̃"/>
                          </m:accPr>
                          <m:e>
                            <m:r>
                              <m:t>H</m:t>
                            </m:r>
                          </m:e>
                        </m:acc>
                      </m:e>
                      <m:sub>
                        <m:r>
                          <m:t>l</m:t>
                        </m:r>
                        <m:r>
                          <m:rPr>
                            <m:sty m:val="p"/>
                          </m:rPr>
                          <m:t>−</m:t>
                        </m:r>
                        <m:r>
                          <m:t>0</m:t>
                        </m:r>
                      </m:sub>
                    </m:sSub>
                    <m:r>
                      <m:rPr>
                        <m:sty m:val="p"/>
                      </m:rPr>
                      <m:t>,</m:t>
                    </m:r>
                    <m:r>
                      <m:t>M</m:t>
                    </m:r>
                    <m:r>
                      <m:rPr>
                        <m:sty m:val="p"/>
                      </m:rPr>
                      <m:t>,</m:t>
                    </m:r>
                    <m:r>
                      <m:t>0</m:t>
                    </m:r>
                  </m:e>
                </m:d>
                <m:sSubSup>
                  <m:e>
                    <m:r>
                      <m:t>W</m:t>
                    </m:r>
                  </m:e>
                  <m:sub>
                    <m:r>
                      <m:t>l</m:t>
                    </m:r>
                  </m:sub>
                  <m:sup>
                    <m:sSub>
                      <m:e>
                        <m:r>
                          <m:t>K</m:t>
                        </m:r>
                      </m:e>
                      <m:sub>
                        <m:r>
                          <m:t>0</m:t>
                        </m:r>
                      </m:sub>
                    </m:sSub>
                  </m:sup>
                </m:sSubSup>
                <m:r>
                  <m:rPr>
                    <m:sty m:val="p"/>
                  </m:rPr>
                  <m:t>+</m:t>
                </m:r>
                <m:r>
                  <m:t>ϕ</m:t>
                </m:r>
                <m:d>
                  <m:dPr>
                    <m:begChr m:val="("/>
                    <m:endChr m:val=")"/>
                    <m:sepChr m:val=""/>
                    <m:grow/>
                  </m:dPr>
                  <m:e>
                    <m:sSub>
                      <m:e>
                        <m:acc>
                          <m:accPr>
                            <m:chr m:val="̃"/>
                          </m:accPr>
                          <m:e>
                            <m:r>
                              <m:t>H</m:t>
                            </m:r>
                          </m:e>
                        </m:acc>
                      </m:e>
                      <m:sub>
                        <m:r>
                          <m:t>l</m:t>
                        </m:r>
                        <m:r>
                          <m:rPr>
                            <m:sty m:val="p"/>
                          </m:rPr>
                          <m:t>−</m:t>
                        </m:r>
                        <m:r>
                          <m:t>1</m:t>
                        </m:r>
                      </m:sub>
                    </m:sSub>
                    <m:r>
                      <m:rPr>
                        <m:sty m:val="p"/>
                      </m:rPr>
                      <m:t>,</m:t>
                    </m:r>
                    <m:r>
                      <m:t>M</m:t>
                    </m:r>
                    <m:r>
                      <m:rPr>
                        <m:sty m:val="p"/>
                      </m:rPr>
                      <m:t>,</m:t>
                    </m:r>
                    <m:r>
                      <m:t>0</m:t>
                    </m:r>
                  </m:e>
                </m:d>
                <m:sSubSup>
                  <m:e>
                    <m:r>
                      <m:t>W</m:t>
                    </m:r>
                  </m:e>
                  <m:sub>
                    <m:r>
                      <m:t>l</m:t>
                    </m:r>
                  </m:sub>
                  <m:sup>
                    <m:sSub>
                      <m:e>
                        <m:r>
                          <m:t>K</m:t>
                        </m:r>
                      </m:e>
                      <m:sub>
                        <m:r>
                          <m:t>1</m:t>
                        </m:r>
                      </m:sub>
                    </m:sSub>
                  </m:sup>
                </m:sSubSup>
              </m:e>
            </m:mr>
            <m:mr>
              <m:e>
                <m:sSubSup>
                  <m:e>
                    <m:r>
                      <m:t>H</m:t>
                    </m:r>
                  </m:e>
                  <m:sub>
                    <m:r>
                      <m:t>l</m:t>
                    </m:r>
                  </m:sub>
                  <m:sup>
                    <m:r>
                      <m:t>V</m:t>
                    </m:r>
                  </m:sup>
                </m:sSubSup>
              </m:e>
              <m:e>
                <m:r>
                  <m:rPr>
                    <m:sty m:val="p"/>
                  </m:rPr>
                  <m:t>=</m:t>
                </m:r>
                <m:r>
                  <m:t>ϕ</m:t>
                </m:r>
                <m:d>
                  <m:dPr>
                    <m:begChr m:val="("/>
                    <m:endChr m:val=")"/>
                    <m:sepChr m:val=""/>
                    <m:grow/>
                  </m:dPr>
                  <m:e>
                    <m:sSub>
                      <m:e>
                        <m:acc>
                          <m:accPr>
                            <m:chr m:val="̃"/>
                          </m:accPr>
                          <m:e>
                            <m:r>
                              <m:t>H</m:t>
                            </m:r>
                          </m:e>
                        </m:acc>
                      </m:e>
                      <m:sub>
                        <m:r>
                          <m:t>l</m:t>
                        </m:r>
                        <m:r>
                          <m:rPr>
                            <m:sty m:val="p"/>
                          </m:rPr>
                          <m:t>−</m:t>
                        </m:r>
                        <m:r>
                          <m:t>0</m:t>
                        </m:r>
                      </m:sub>
                    </m:sSub>
                    <m:r>
                      <m:rPr>
                        <m:sty m:val="p"/>
                      </m:rPr>
                      <m:t>,</m:t>
                    </m:r>
                    <m:r>
                      <m:t>M</m:t>
                    </m:r>
                    <m:r>
                      <m:rPr>
                        <m:sty m:val="p"/>
                      </m:rPr>
                      <m:t>,</m:t>
                    </m:r>
                    <m:r>
                      <m:t>0</m:t>
                    </m:r>
                  </m:e>
                </m:d>
                <m:sSubSup>
                  <m:e>
                    <m:r>
                      <m:t>W</m:t>
                    </m:r>
                  </m:e>
                  <m:sub>
                    <m:r>
                      <m:t>l</m:t>
                    </m:r>
                  </m:sub>
                  <m:sup>
                    <m:sSub>
                      <m:e>
                        <m:r>
                          <m:t>V</m:t>
                        </m:r>
                      </m:e>
                      <m:sub>
                        <m:r>
                          <m:t>0</m:t>
                        </m:r>
                      </m:sub>
                    </m:sSub>
                  </m:sup>
                </m:sSubSup>
                <m:r>
                  <m:rPr>
                    <m:sty m:val="p"/>
                  </m:rPr>
                  <m:t>+</m:t>
                </m:r>
                <m:r>
                  <m:t>ϕ</m:t>
                </m:r>
                <m:d>
                  <m:dPr>
                    <m:begChr m:val="("/>
                    <m:endChr m:val=")"/>
                    <m:sepChr m:val=""/>
                    <m:grow/>
                  </m:dPr>
                  <m:e>
                    <m:sSub>
                      <m:e>
                        <m:acc>
                          <m:accPr>
                            <m:chr m:val="̃"/>
                          </m:accPr>
                          <m:e>
                            <m:r>
                              <m:t>H</m:t>
                            </m:r>
                          </m:e>
                        </m:acc>
                      </m:e>
                      <m:sub>
                        <m:r>
                          <m:t>l</m:t>
                        </m:r>
                        <m:r>
                          <m:rPr>
                            <m:sty m:val="p"/>
                          </m:rPr>
                          <m:t>−</m:t>
                        </m:r>
                        <m:r>
                          <m:t>1</m:t>
                        </m:r>
                      </m:sub>
                    </m:sSub>
                    <m:r>
                      <m:rPr>
                        <m:sty m:val="p"/>
                      </m:rPr>
                      <m:t>,</m:t>
                    </m:r>
                    <m:r>
                      <m:t>M</m:t>
                    </m:r>
                    <m:r>
                      <m:rPr>
                        <m:sty m:val="p"/>
                      </m:rPr>
                      <m:t>,</m:t>
                    </m:r>
                    <m:r>
                      <m:t>0</m:t>
                    </m:r>
                  </m:e>
                </m:d>
                <m:sSubSup>
                  <m:e>
                    <m:r>
                      <m:t>W</m:t>
                    </m:r>
                  </m:e>
                  <m:sub>
                    <m:r>
                      <m:t>l</m:t>
                    </m:r>
                  </m:sub>
                  <m:sup>
                    <m:sSub>
                      <m:e>
                        <m:r>
                          <m:t>V</m:t>
                        </m:r>
                      </m:e>
                      <m:sub>
                        <m:r>
                          <m:t>1</m:t>
                        </m:r>
                      </m:sub>
                    </m:sSub>
                  </m:sup>
                </m:sSubSup>
              </m:e>
            </m:mr>
            <m:mr>
              <m:e>
                <m:sSub>
                  <m:e>
                    <m:r>
                      <m:t>C</m:t>
                    </m:r>
                  </m:e>
                  <m:sub>
                    <m:r>
                      <m:t>l</m:t>
                    </m:r>
                  </m:sub>
                </m:sSub>
              </m:e>
              <m:e>
                <m:r>
                  <m:rPr>
                    <m:sty m:val="p"/>
                  </m:rPr>
                  <m:t>=</m:t>
                </m:r>
                <m:r>
                  <m:t>S</m:t>
                </m:r>
                <m:r>
                  <m:t>o</m:t>
                </m:r>
                <m:r>
                  <m:t>f</m:t>
                </m:r>
                <m:r>
                  <m:t>t</m:t>
                </m:r>
                <m:r>
                  <m:t>m</m:t>
                </m:r>
                <m:r>
                  <m:t>a</m:t>
                </m:r>
                <m:r>
                  <m:t>x</m:t>
                </m:r>
                <m:d>
                  <m:dPr>
                    <m:begChr m:val="("/>
                    <m:endChr m:val=")"/>
                    <m:sepChr m:val=""/>
                    <m:grow/>
                  </m:dPr>
                  <m:e>
                    <m:f>
                      <m:fPr>
                        <m:type m:val="bar"/>
                      </m:fPr>
                      <m:num>
                        <m:sSubSup>
                          <m:e>
                            <m:r>
                              <m:t>H</m:t>
                            </m:r>
                          </m:e>
                          <m:sub>
                            <m:r>
                              <m:t>l</m:t>
                            </m:r>
                          </m:sub>
                          <m:sup>
                            <m:r>
                              <m:t>Q</m:t>
                            </m:r>
                          </m:sup>
                        </m:sSubSup>
                        <m:sSubSup>
                          <m:e>
                            <m:r>
                              <m:t>H</m:t>
                            </m:r>
                          </m:e>
                          <m:sub>
                            <m:r>
                              <m:t>l</m:t>
                            </m:r>
                          </m:sub>
                          <m:sup>
                            <m:sSup>
                              <m:e>
                                <m:r>
                                  <m:t>K</m:t>
                                </m:r>
                              </m:e>
                              <m:sup>
                                <m:r>
                                  <m:t>T</m:t>
                                </m:r>
                              </m:sup>
                            </m:sSup>
                          </m:sup>
                        </m:sSubSup>
                      </m:num>
                      <m:den>
                        <m:rad>
                          <m:radPr>
                            <m:degHide m:val="1"/>
                          </m:radPr>
                          <m:deg/>
                          <m:e>
                            <m:r>
                              <m:t>d</m:t>
                            </m:r>
                          </m:e>
                        </m:rad>
                      </m:den>
                    </m:f>
                  </m:e>
                </m:d>
                <m:sSubSup>
                  <m:e>
                    <m:r>
                      <m:t>H</m:t>
                    </m:r>
                  </m:e>
                  <m:sub>
                    <m:r>
                      <m:t>l</m:t>
                    </m:r>
                  </m:sub>
                  <m:sup>
                    <m:r>
                      <m:t>V</m:t>
                    </m:r>
                  </m:sup>
                </m:sSubSup>
              </m:e>
            </m:mr>
          </m:m>
        </m:oMath>
      </m:oMathPara>
    </w:p>
    <w:p>
      <w:pPr>
        <w:pStyle w:val="FirstParagraph"/>
      </w:pPr>
      <w:r>
        <w:t xml:space="preserve">其中，</w:t>
      </w:r>
      <m:oMath>
        <m:sSubSup>
          <m:e>
            <m:r>
              <m:t>W</m:t>
            </m:r>
          </m:e>
          <m:sub>
            <m:r>
              <m:t>l</m:t>
            </m:r>
          </m:sub>
          <m:sup>
            <m:r>
              <m:t>Q</m:t>
            </m:r>
          </m:sup>
        </m:sSubSup>
        <m:r>
          <m:rPr>
            <m:sty m:val="p"/>
          </m:rPr>
          <m:t>,</m:t>
        </m:r>
        <m:sSubSup>
          <m:e>
            <m:r>
              <m:t>W</m:t>
            </m:r>
          </m:e>
          <m:sub>
            <m:r>
              <m:t>l</m:t>
            </m:r>
          </m:sub>
          <m:sup>
            <m:sSub>
              <m:e>
                <m:r>
                  <m:t>K</m:t>
                </m:r>
              </m:e>
              <m:sub>
                <m:r>
                  <m:t>0</m:t>
                </m:r>
              </m:sub>
            </m:sSub>
          </m:sup>
        </m:sSubSup>
        <m:r>
          <m:rPr>
            <m:sty m:val="p"/>
          </m:rPr>
          <m:t>,</m:t>
        </m:r>
        <m:sSubSup>
          <m:e>
            <m:r>
              <m:t>W</m:t>
            </m:r>
          </m:e>
          <m:sub>
            <m:r>
              <m:t>l</m:t>
            </m:r>
          </m:sub>
          <m:sup>
            <m:sSub>
              <m:e>
                <m:r>
                  <m:t>K</m:t>
                </m:r>
              </m:e>
              <m:sub>
                <m:r>
                  <m:t>1</m:t>
                </m:r>
              </m:sub>
            </m:sSub>
          </m:sup>
        </m:sSubSup>
        <m:r>
          <m:rPr>
            <m:sty m:val="p"/>
          </m:rPr>
          <m:t>,</m:t>
        </m:r>
        <m:sSubSup>
          <m:e>
            <m:r>
              <m:t>W</m:t>
            </m:r>
          </m:e>
          <m:sub>
            <m:r>
              <m:t>l</m:t>
            </m:r>
          </m:sub>
          <m:sup>
            <m:sSub>
              <m:e>
                <m:r>
                  <m:t>V</m:t>
                </m:r>
              </m:e>
              <m:sub>
                <m:r>
                  <m:t>0</m:t>
                </m:r>
              </m:sub>
            </m:sSub>
          </m:sup>
        </m:sSubSup>
        <m:r>
          <m:rPr>
            <m:sty m:val="p"/>
          </m:rPr>
          <m:t>,</m:t>
        </m:r>
        <m:sSubSup>
          <m:e>
            <m:r>
              <m:t>W</m:t>
            </m:r>
          </m:e>
          <m:sub>
            <m:r>
              <m:t>l</m:t>
            </m:r>
          </m:sub>
          <m:sup>
            <m:sSub>
              <m:e>
                <m:r>
                  <m:t>V</m:t>
                </m:r>
              </m:e>
              <m:sub>
                <m:r>
                  <m:t>0</m:t>
                </m:r>
              </m:sub>
            </m:sSub>
          </m:sup>
        </m:sSubSup>
        <m:r>
          <m:rPr>
            <m:sty m:val="p"/>
          </m:rPr>
          <m:t>∈</m:t>
        </m:r>
        <m:sSup>
          <m:e>
            <m:r>
              <m:rPr>
                <m:sty m:val="p"/>
                <m:scr m:val="double-struck"/>
              </m:rPr>
              <m:t>R</m:t>
            </m:r>
          </m:e>
          <m:sup>
            <m:r>
              <m:t>d</m:t>
            </m:r>
            <m:r>
              <m:rPr>
                <m:sty m:val="p"/>
              </m:rPr>
              <m:t>×</m:t>
            </m:r>
            <m:r>
              <m:t>d</m:t>
            </m:r>
          </m:sup>
        </m:sSup>
      </m:oMath>
      <w:r>
        <w:t xml:space="preserve">是可学习的映射矩阵，</w:t>
      </w:r>
      <m:oMath>
        <m:sSub>
          <m:e>
            <m:r>
              <m:t>C</m:t>
            </m:r>
          </m:e>
          <m:sub>
            <m:r>
              <m:t>l</m:t>
            </m:r>
          </m:sub>
        </m:sSub>
        <m:r>
          <m:rPr>
            <m:sty m:val="p"/>
          </m:rPr>
          <m:t>∈</m:t>
        </m:r>
        <m:sSup>
          <m:e>
            <m:r>
              <m:rPr>
                <m:sty m:val="p"/>
                <m:scr m:val="double-struck"/>
              </m:rPr>
              <m:t>R</m:t>
            </m:r>
          </m:e>
          <m:sup>
            <m:d>
              <m:dPr>
                <m:begChr m:val="("/>
                <m:endChr m:val=")"/>
                <m:sepChr m:val=""/>
                <m:grow/>
              </m:dPr>
              <m:e>
                <m:sSub>
                  <m:e>
                    <m:r>
                      <m:t>L</m:t>
                    </m:r>
                  </m:e>
                  <m:sub>
                    <m:r>
                      <m:t>V</m:t>
                    </m:r>
                  </m:sub>
                </m:sSub>
                <m:r>
                  <m:rPr>
                    <m:sty m:val="p"/>
                  </m:rPr>
                  <m:t>+</m:t>
                </m:r>
                <m:sSub>
                  <m:e>
                    <m:r>
                      <m:t>L</m:t>
                    </m:r>
                  </m:e>
                  <m:sub>
                    <m:r>
                      <m:t>T</m:t>
                    </m:r>
                  </m:sub>
                </m:sSub>
              </m:e>
            </m:d>
            <m:r>
              <m:rPr>
                <m:sty m:val="p"/>
              </m:rPr>
              <m:t>×</m:t>
            </m:r>
            <m:r>
              <m:t>d</m:t>
            </m:r>
          </m:sup>
        </m:sSup>
      </m:oMath>
      <w:r>
        <w:t xml:space="preserve">为第</w:t>
      </w:r>
      <m:oMath>
        <m:r>
          <m:t>l</m:t>
        </m:r>
      </m:oMath>
      <w:r>
        <w:t xml:space="preserve">层的上下文特征。按照这种方法，我们可以计算在共享语义空间内的两个模态的相似度，也能通过不同的value映射层保留每个模态的独特模态特征。</w:t>
      </w:r>
    </w:p>
    <w:p>
      <w:pPr>
        <w:pStyle w:val="BodyText"/>
      </w:pPr>
      <w:r>
        <w:t xml:space="preserve">此外，通过分离key、value映射矩阵，本文可以避免两个模态间的干扰（尤其是颗粒度不匹配）。同样地，本文也通过利用不同层的标准化层对这些特征进行建模。最后，为了在相同的特征空间内提升模态的联合，本文对所有模态使用一个共享的FFN。本文就是这样通过模态适应模块既实现了模态交互，也保留了模态特征。</w:t>
      </w:r>
    </w:p>
    <w:p>
      <w:r>
        <w:pict>
          <v:rect style="width:0;height:1.5pt" o:hralign="center" o:hrstd="t" o:hr="t"/>
        </w:pict>
      </w:r>
    </w:p>
    <w:bookmarkEnd w:id="33"/>
    <w:bookmarkStart w:id="34" w:name="训练范式"/>
    <w:p>
      <w:pPr>
        <w:pStyle w:val="Heading3"/>
      </w:pPr>
      <w:r>
        <w:t xml:space="preserve">训练范式</w:t>
      </w:r>
    </w:p>
    <w:p>
      <w:pPr>
        <w:pStyle w:val="FirstParagraph"/>
      </w:pPr>
      <w:r>
        <w:t xml:space="preserve">本文引入一个双阶段训练范式，包括了视觉语言预训练和联合视觉语言指令微调。在预训练阶段，本文会将预训练视觉编码器和语言模型进行对齐；在指令微调阶段，本文会用语言建模损失函数微调语言模型。</w:t>
      </w:r>
    </w:p>
    <w:p>
      <w:pPr>
        <w:pStyle w:val="BodyText"/>
      </w:pPr>
      <w:r>
        <w:t xml:space="preserve">然而，单纯地冰封预训练视觉编码器并训练一个视觉语言映射器来将视觉数据与语言模型对齐会限制其理解复杂视觉信息（比如场景文本和视觉知识）的能力。因此，本文让视觉编码器在两个阶段一直保持可训练的状态。这一范式通过两个阶段来训练视觉编码器，使其同时有效捕捉低层级和高层级的语义视觉信息。</w:t>
      </w:r>
    </w:p>
    <w:p>
      <w:pPr>
        <w:numPr>
          <w:ilvl w:val="0"/>
          <w:numId w:val="1002"/>
        </w:numPr>
        <w:pStyle w:val="Compact"/>
      </w:pPr>
      <w:r>
        <w:t xml:space="preserve">在预训练阶段：预训练语言嵌入层和部分模态适应模块被冰封，其他都保持可训练。</w:t>
      </w:r>
    </w:p>
    <w:p>
      <w:pPr>
        <w:numPr>
          <w:ilvl w:val="0"/>
          <w:numId w:val="1002"/>
        </w:numPr>
        <w:pStyle w:val="Compact"/>
      </w:pPr>
      <w:r>
        <w:t xml:space="preserve">先前的研究表明，通过单模态、多模态数据同时进行训练，模型会取得更好的效果。因此本文在指令微调阶段采用一个微调整个模型的联合训练方法。通过将文本和多模态数据作为指令进行微调，可以提高文本中对视觉概念的理解程度、也可以提高复杂自然语言指令的理解程度。</w:t>
      </w:r>
    </w:p>
    <w:bookmarkEnd w:id="34"/>
    <w:bookmarkEnd w:id="35"/>
    <w:bookmarkStart w:id="75" w:name="实验"/>
    <w:p>
      <w:pPr>
        <w:pStyle w:val="Heading2"/>
      </w:pPr>
      <w:r>
        <w:t xml:space="preserve">实验</w:t>
      </w:r>
    </w:p>
    <w:p>
      <w:pPr>
        <w:pStyle w:val="FirstParagraph"/>
      </w:pPr>
      <w:r>
        <w:t xml:space="preserve">实验展示了mPLUG-Owl2能够同时在文本任务和多模态任务泛化，并用一个</w:t>
      </w:r>
      <w:r>
        <w:rPr>
          <w:bCs/>
          <w:b/>
        </w:rPr>
        <w:t xml:space="preserve">单一通用模型</w:t>
      </w:r>
      <w:r>
        <w:t xml:space="preserve">在8个经典的视觉语言benckmark上取得SOTA效果。</w:t>
      </w:r>
    </w:p>
    <w:bookmarkStart w:id="39" w:name="图像描述vqa"/>
    <w:p>
      <w:pPr>
        <w:pStyle w:val="Heading3"/>
      </w:pPr>
      <w:r>
        <w:t xml:space="preserve">图像描述、VQA</w:t>
      </w:r>
    </w:p>
    <w:p>
      <w:pPr>
        <w:pStyle w:val="CaptionedFigure"/>
      </w:pPr>
      <w:r>
        <w:drawing>
          <wp:inline>
            <wp:extent cx="5334000" cy="1920604"/>
            <wp:effectExtent b="0" l="0" r="0" t="0"/>
            <wp:docPr descr="Fig3" title="" id="37" name="Picture"/>
            <a:graphic>
              <a:graphicData uri="http://schemas.openxmlformats.org/drawingml/2006/picture">
                <pic:pic>
                  <pic:nvPicPr>
                    <pic:cNvPr descr="./fig/mPLUG-Owl2%20visual%20language%20capacity.png" id="38" name="Picture"/>
                    <pic:cNvPicPr>
                      <a:picLocks noChangeArrowheads="1" noChangeAspect="1"/>
                    </pic:cNvPicPr>
                  </pic:nvPicPr>
                  <pic:blipFill>
                    <a:blip r:embed="rId36"/>
                    <a:stretch>
                      <a:fillRect/>
                    </a:stretch>
                  </pic:blipFill>
                  <pic:spPr bwMode="auto">
                    <a:xfrm>
                      <a:off x="0" y="0"/>
                      <a:ext cx="5334000" cy="1920604"/>
                    </a:xfrm>
                    <a:prstGeom prst="rect">
                      <a:avLst/>
                    </a:prstGeom>
                    <a:noFill/>
                    <a:ln w="9525">
                      <a:noFill/>
                      <a:headEnd/>
                      <a:tailEnd/>
                    </a:ln>
                  </pic:spPr>
                </pic:pic>
              </a:graphicData>
            </a:graphic>
          </wp:inline>
        </w:drawing>
      </w:r>
    </w:p>
    <w:p>
      <w:pPr>
        <w:pStyle w:val="ImageCaption"/>
      </w:pPr>
      <w:r>
        <w:t xml:space="preserve">Fig3</w:t>
      </w:r>
    </w:p>
    <w:p>
      <w:pPr>
        <w:pStyle w:val="BodyText"/>
      </w:pPr>
      <w:r>
        <w:t xml:space="preserve">（†表示使用了OCR输入、‡表示模型在此数据集上训练过；Specialists表示模型在数据集上微调过）</w:t>
      </w:r>
    </w:p>
    <w:bookmarkEnd w:id="39"/>
    <w:bookmarkStart w:id="43" w:name="零样本多模态任务"/>
    <w:p>
      <w:pPr>
        <w:pStyle w:val="Heading3"/>
      </w:pPr>
      <w:r>
        <w:t xml:space="preserve">零样本多模态任务</w:t>
      </w:r>
    </w:p>
    <w:p>
      <w:pPr>
        <w:pStyle w:val="FirstParagraph"/>
      </w:pPr>
      <w:r>
        <w:t xml:space="preserve">此外，mPLUG-Owl2在5个最近零样本多模态benchmark上获得了数一数二的效果，展示了其在多模态指示理解和生成上的适应性和有效性。</w:t>
      </w:r>
    </w:p>
    <w:p>
      <w:pPr>
        <w:pStyle w:val="BodyText"/>
      </w:pPr>
      <w:r>
        <w:t xml:space="preserve">值得注意的是，mPLUG-Owl2是第一个在同时纯文本和多模态场景中展示模态联合现象的多模态大语言模型，为未来多模态基础模型的发展开创了一条道路。</w:t>
      </w:r>
    </w:p>
    <w:p>
      <w:pPr>
        <w:pStyle w:val="CaptionedFigure"/>
      </w:pPr>
      <w:r>
        <w:drawing>
          <wp:inline>
            <wp:extent cx="5334000" cy="1536519"/>
            <wp:effectExtent b="0" l="0" r="0" t="0"/>
            <wp:docPr descr="Fig4" title="" id="41" name="Picture"/>
            <a:graphic>
              <a:graphicData uri="http://schemas.openxmlformats.org/drawingml/2006/picture">
                <pic:pic>
                  <pic:nvPicPr>
                    <pic:cNvPr descr="./fig/mPLUG-Owl2%20zero-shot%20multi-modal%20capacity.png" id="42" name="Picture"/>
                    <pic:cNvPicPr>
                      <a:picLocks noChangeArrowheads="1" noChangeAspect="1"/>
                    </pic:cNvPicPr>
                  </pic:nvPicPr>
                  <pic:blipFill>
                    <a:blip r:embed="rId40"/>
                    <a:stretch>
                      <a:fillRect/>
                    </a:stretch>
                  </pic:blipFill>
                  <pic:spPr bwMode="auto">
                    <a:xfrm>
                      <a:off x="0" y="0"/>
                      <a:ext cx="5334000" cy="1536519"/>
                    </a:xfrm>
                    <a:prstGeom prst="rect">
                      <a:avLst/>
                    </a:prstGeom>
                    <a:noFill/>
                    <a:ln w="9525">
                      <a:noFill/>
                      <a:headEnd/>
                      <a:tailEnd/>
                    </a:ln>
                  </pic:spPr>
                </pic:pic>
              </a:graphicData>
            </a:graphic>
          </wp:inline>
        </w:drawing>
      </w:r>
    </w:p>
    <w:p>
      <w:pPr>
        <w:pStyle w:val="ImageCaption"/>
      </w:pPr>
      <w:r>
        <w:t xml:space="preserve">Fig4</w:t>
      </w:r>
    </w:p>
    <w:bookmarkEnd w:id="43"/>
    <w:bookmarkStart w:id="47" w:name="自然语言理解和生成"/>
    <w:p>
      <w:pPr>
        <w:pStyle w:val="Heading3"/>
      </w:pPr>
      <w:r>
        <w:t xml:space="preserve">自然语言理解和生成</w:t>
      </w:r>
    </w:p>
    <w:p>
      <w:pPr>
        <w:pStyle w:val="FirstParagraph"/>
      </w:pPr>
      <w:r>
        <w:t xml:space="preserve">还有，mPLUG-Owl2也在多个纯文本benchmark中也取得了SOTA结果。</w:t>
      </w:r>
    </w:p>
    <w:p>
      <w:pPr>
        <w:pStyle w:val="CaptionedFigure"/>
      </w:pPr>
      <w:r>
        <w:drawing>
          <wp:inline>
            <wp:extent cx="5334000" cy="1650604"/>
            <wp:effectExtent b="0" l="0" r="0" t="0"/>
            <wp:docPr descr="Fig5" title="" id="45" name="Picture"/>
            <a:graphic>
              <a:graphicData uri="http://schemas.openxmlformats.org/drawingml/2006/picture">
                <pic:pic>
                  <pic:nvPicPr>
                    <pic:cNvPr descr="./fig/mPLUG-Owl2%20pure%20text.png" id="46" name="Picture"/>
                    <pic:cNvPicPr>
                      <a:picLocks noChangeArrowheads="1" noChangeAspect="1"/>
                    </pic:cNvPicPr>
                  </pic:nvPicPr>
                  <pic:blipFill>
                    <a:blip r:embed="rId44"/>
                    <a:stretch>
                      <a:fillRect/>
                    </a:stretch>
                  </pic:blipFill>
                  <pic:spPr bwMode="auto">
                    <a:xfrm>
                      <a:off x="0" y="0"/>
                      <a:ext cx="5334000" cy="1650604"/>
                    </a:xfrm>
                    <a:prstGeom prst="rect">
                      <a:avLst/>
                    </a:prstGeom>
                    <a:noFill/>
                    <a:ln w="9525">
                      <a:noFill/>
                      <a:headEnd/>
                      <a:tailEnd/>
                    </a:ln>
                  </pic:spPr>
                </pic:pic>
              </a:graphicData>
            </a:graphic>
          </wp:inline>
        </w:drawing>
      </w:r>
    </w:p>
    <w:p>
      <w:pPr>
        <w:pStyle w:val="ImageCaption"/>
      </w:pPr>
      <w:r>
        <w:t xml:space="preserve">Fig5</w:t>
      </w:r>
    </w:p>
    <w:bookmarkEnd w:id="47"/>
    <w:bookmarkStart w:id="51" w:name="零样本视频问答"/>
    <w:p>
      <w:pPr>
        <w:pStyle w:val="Heading3"/>
      </w:pPr>
      <w:r>
        <w:t xml:space="preserve">零样本视频问答</w:t>
      </w:r>
    </w:p>
    <w:p>
      <w:pPr>
        <w:pStyle w:val="CaptionedFigure"/>
      </w:pPr>
      <w:r>
        <w:drawing>
          <wp:inline>
            <wp:extent cx="5334000" cy="3467652"/>
            <wp:effectExtent b="0" l="0" r="0" t="0"/>
            <wp:docPr descr="Fig6" title="" id="49" name="Picture"/>
            <a:graphic>
              <a:graphicData uri="http://schemas.openxmlformats.org/drawingml/2006/picture">
                <pic:pic>
                  <pic:nvPicPr>
                    <pic:cNvPr descr="./fig/mPLUG-Owl2%20video%20question%20answering.png" id="50" name="Picture"/>
                    <pic:cNvPicPr>
                      <a:picLocks noChangeArrowheads="1" noChangeAspect="1"/>
                    </pic:cNvPicPr>
                  </pic:nvPicPr>
                  <pic:blipFill>
                    <a:blip r:embed="rId48"/>
                    <a:stretch>
                      <a:fillRect/>
                    </a:stretch>
                  </pic:blipFill>
                  <pic:spPr bwMode="auto">
                    <a:xfrm>
                      <a:off x="0" y="0"/>
                      <a:ext cx="5334000" cy="3467652"/>
                    </a:xfrm>
                    <a:prstGeom prst="rect">
                      <a:avLst/>
                    </a:prstGeom>
                    <a:noFill/>
                    <a:ln w="9525">
                      <a:noFill/>
                      <a:headEnd/>
                      <a:tailEnd/>
                    </a:ln>
                  </pic:spPr>
                </pic:pic>
              </a:graphicData>
            </a:graphic>
          </wp:inline>
        </w:drawing>
      </w:r>
    </w:p>
    <w:p>
      <w:pPr>
        <w:pStyle w:val="ImageCaption"/>
      </w:pPr>
      <w:r>
        <w:t xml:space="preserve">Fig6</w:t>
      </w:r>
    </w:p>
    <w:p>
      <w:pPr>
        <w:pStyle w:val="BodyText"/>
      </w:pPr>
      <w:r>
        <w:t xml:space="preserve">两种评估方式：提取匹配（一种经常被使用的评估方法）、GPT协助评估。</w:t>
      </w:r>
    </w:p>
    <w:bookmarkEnd w:id="51"/>
    <w:bookmarkStart w:id="67" w:name="消融实验"/>
    <w:p>
      <w:pPr>
        <w:pStyle w:val="Heading3"/>
      </w:pPr>
      <w:r>
        <w:t xml:space="preserve">消融实验</w:t>
      </w:r>
    </w:p>
    <w:p>
      <w:pPr>
        <w:pStyle w:val="CaptionedFigure"/>
      </w:pPr>
      <w:r>
        <w:drawing>
          <wp:inline>
            <wp:extent cx="5334000" cy="1847653"/>
            <wp:effectExtent b="0" l="0" r="0" t="0"/>
            <wp:docPr descr="Fig7" title="" id="53" name="Picture"/>
            <a:graphic>
              <a:graphicData uri="http://schemas.openxmlformats.org/drawingml/2006/picture">
                <pic:pic>
                  <pic:nvPicPr>
                    <pic:cNvPr descr="./fig/mPLUG-Owl2%20abaltion%20exper.png" id="54" name="Picture"/>
                    <pic:cNvPicPr>
                      <a:picLocks noChangeArrowheads="1" noChangeAspect="1"/>
                    </pic:cNvPicPr>
                  </pic:nvPicPr>
                  <pic:blipFill>
                    <a:blip r:embed="rId52"/>
                    <a:stretch>
                      <a:fillRect/>
                    </a:stretch>
                  </pic:blipFill>
                  <pic:spPr bwMode="auto">
                    <a:xfrm>
                      <a:off x="0" y="0"/>
                      <a:ext cx="5334000" cy="1847653"/>
                    </a:xfrm>
                    <a:prstGeom prst="rect">
                      <a:avLst/>
                    </a:prstGeom>
                    <a:noFill/>
                    <a:ln w="9525">
                      <a:noFill/>
                      <a:headEnd/>
                      <a:tailEnd/>
                    </a:ln>
                  </pic:spPr>
                </pic:pic>
              </a:graphicData>
            </a:graphic>
          </wp:inline>
        </w:drawing>
      </w:r>
    </w:p>
    <w:p>
      <w:pPr>
        <w:pStyle w:val="ImageCaption"/>
      </w:pPr>
      <w:r>
        <w:t xml:space="preserve">Fig7</w:t>
      </w:r>
    </w:p>
    <w:p>
      <w:pPr>
        <w:pStyle w:val="CaptionedFigure"/>
      </w:pPr>
      <w:r>
        <w:drawing>
          <wp:inline>
            <wp:extent cx="5334000" cy="940306"/>
            <wp:effectExtent b="0" l="0" r="0" t="0"/>
            <wp:docPr descr="Fig8" title="" id="56" name="Picture"/>
            <a:graphic>
              <a:graphicData uri="http://schemas.openxmlformats.org/drawingml/2006/picture">
                <pic:pic>
                  <pic:nvPicPr>
                    <pic:cNvPr descr="./fig/mPLUG-Owl2%20abaltion%20exper2.png" id="57" name="Picture"/>
                    <pic:cNvPicPr>
                      <a:picLocks noChangeArrowheads="1" noChangeAspect="1"/>
                    </pic:cNvPicPr>
                  </pic:nvPicPr>
                  <pic:blipFill>
                    <a:blip r:embed="rId55"/>
                    <a:stretch>
                      <a:fillRect/>
                    </a:stretch>
                  </pic:blipFill>
                  <pic:spPr bwMode="auto">
                    <a:xfrm>
                      <a:off x="0" y="0"/>
                      <a:ext cx="5334000" cy="940306"/>
                    </a:xfrm>
                    <a:prstGeom prst="rect">
                      <a:avLst/>
                    </a:prstGeom>
                    <a:noFill/>
                    <a:ln w="9525">
                      <a:noFill/>
                      <a:headEnd/>
                      <a:tailEnd/>
                    </a:ln>
                  </pic:spPr>
                </pic:pic>
              </a:graphicData>
            </a:graphic>
          </wp:inline>
        </w:drawing>
      </w:r>
    </w:p>
    <w:p>
      <w:pPr>
        <w:pStyle w:val="ImageCaption"/>
      </w:pPr>
      <w:r>
        <w:t xml:space="preserve">Fig8</w:t>
      </w:r>
    </w:p>
    <w:p>
      <w:pPr>
        <w:pStyle w:val="CaptionedFigure"/>
      </w:pPr>
      <w:r>
        <w:drawing>
          <wp:inline>
            <wp:extent cx="5334000" cy="1526378"/>
            <wp:effectExtent b="0" l="0" r="0" t="0"/>
            <wp:docPr descr="Fig9" title="" id="59" name="Picture"/>
            <a:graphic>
              <a:graphicData uri="http://schemas.openxmlformats.org/drawingml/2006/picture">
                <pic:pic>
                  <pic:nvPicPr>
                    <pic:cNvPr descr="./fig/mPLUG-Owl2%20abaltion%20exper3.png" id="60" name="Picture"/>
                    <pic:cNvPicPr>
                      <a:picLocks noChangeArrowheads="1" noChangeAspect="1"/>
                    </pic:cNvPicPr>
                  </pic:nvPicPr>
                  <pic:blipFill>
                    <a:blip r:embed="rId58"/>
                    <a:stretch>
                      <a:fillRect/>
                    </a:stretch>
                  </pic:blipFill>
                  <pic:spPr bwMode="auto">
                    <a:xfrm>
                      <a:off x="0" y="0"/>
                      <a:ext cx="5334000" cy="1526378"/>
                    </a:xfrm>
                    <a:prstGeom prst="rect">
                      <a:avLst/>
                    </a:prstGeom>
                    <a:noFill/>
                    <a:ln w="9525">
                      <a:noFill/>
                      <a:headEnd/>
                      <a:tailEnd/>
                    </a:ln>
                  </pic:spPr>
                </pic:pic>
              </a:graphicData>
            </a:graphic>
          </wp:inline>
        </w:drawing>
      </w:r>
    </w:p>
    <w:p>
      <w:pPr>
        <w:pStyle w:val="ImageCaption"/>
      </w:pPr>
      <w:r>
        <w:t xml:space="preserve">Fig9</w:t>
      </w:r>
    </w:p>
    <w:p>
      <w:pPr>
        <w:pStyle w:val="CaptionedFigure"/>
      </w:pPr>
      <w:r>
        <w:drawing>
          <wp:inline>
            <wp:extent cx="5334000" cy="921581"/>
            <wp:effectExtent b="0" l="0" r="0" t="0"/>
            <wp:docPr descr="Fig10" title="" id="62" name="Picture"/>
            <a:graphic>
              <a:graphicData uri="http://schemas.openxmlformats.org/drawingml/2006/picture">
                <pic:pic>
                  <pic:nvPicPr>
                    <pic:cNvPr descr="./fig/mPLUG-Owl2%20abaltion%20exper4.png" id="63" name="Picture"/>
                    <pic:cNvPicPr>
                      <a:picLocks noChangeArrowheads="1" noChangeAspect="1"/>
                    </pic:cNvPicPr>
                  </pic:nvPicPr>
                  <pic:blipFill>
                    <a:blip r:embed="rId61"/>
                    <a:stretch>
                      <a:fillRect/>
                    </a:stretch>
                  </pic:blipFill>
                  <pic:spPr bwMode="auto">
                    <a:xfrm>
                      <a:off x="0" y="0"/>
                      <a:ext cx="5334000" cy="921581"/>
                    </a:xfrm>
                    <a:prstGeom prst="rect">
                      <a:avLst/>
                    </a:prstGeom>
                    <a:noFill/>
                    <a:ln w="9525">
                      <a:noFill/>
                      <a:headEnd/>
                      <a:tailEnd/>
                    </a:ln>
                  </pic:spPr>
                </pic:pic>
              </a:graphicData>
            </a:graphic>
          </wp:inline>
        </w:drawing>
      </w:r>
    </w:p>
    <w:p>
      <w:pPr>
        <w:pStyle w:val="ImageCaption"/>
      </w:pPr>
      <w:r>
        <w:t xml:space="preserve">Fig10</w:t>
      </w:r>
    </w:p>
    <w:p>
      <w:pPr>
        <w:pStyle w:val="CaptionedFigure"/>
      </w:pPr>
      <w:r>
        <w:drawing>
          <wp:inline>
            <wp:extent cx="5334000" cy="2760869"/>
            <wp:effectExtent b="0" l="0" r="0" t="0"/>
            <wp:docPr descr="Fig11" title="" id="65" name="Picture"/>
            <a:graphic>
              <a:graphicData uri="http://schemas.openxmlformats.org/drawingml/2006/picture">
                <pic:pic>
                  <pic:nvPicPr>
                    <pic:cNvPr descr="./fig/mPLUG-Owl2%20abaltion%20exper5.png" id="66" name="Picture"/>
                    <pic:cNvPicPr>
                      <a:picLocks noChangeArrowheads="1" noChangeAspect="1"/>
                    </pic:cNvPicPr>
                  </pic:nvPicPr>
                  <pic:blipFill>
                    <a:blip r:embed="rId64"/>
                    <a:stretch>
                      <a:fillRect/>
                    </a:stretch>
                  </pic:blipFill>
                  <pic:spPr bwMode="auto">
                    <a:xfrm>
                      <a:off x="0" y="0"/>
                      <a:ext cx="5334000" cy="2760869"/>
                    </a:xfrm>
                    <a:prstGeom prst="rect">
                      <a:avLst/>
                    </a:prstGeom>
                    <a:noFill/>
                    <a:ln w="9525">
                      <a:noFill/>
                      <a:headEnd/>
                      <a:tailEnd/>
                    </a:ln>
                  </pic:spPr>
                </pic:pic>
              </a:graphicData>
            </a:graphic>
          </wp:inline>
        </w:drawing>
      </w:r>
    </w:p>
    <w:p>
      <w:pPr>
        <w:pStyle w:val="ImageCaption"/>
      </w:pPr>
      <w:r>
        <w:t xml:space="preserve">Fig11</w:t>
      </w:r>
    </w:p>
    <w:p>
      <w:pPr>
        <w:numPr>
          <w:ilvl w:val="0"/>
          <w:numId w:val="1003"/>
        </w:numPr>
        <w:pStyle w:val="Compact"/>
      </w:pPr>
      <w:r>
        <w:t xml:space="preserve">模态适应模块在多模态任务和纯文本任务上都具有有效性。</w:t>
      </w:r>
    </w:p>
    <w:p>
      <w:pPr>
        <w:numPr>
          <w:ilvl w:val="0"/>
          <w:numId w:val="1003"/>
        </w:numPr>
        <w:pStyle w:val="Compact"/>
      </w:pPr>
      <w:r>
        <w:t xml:space="preserve">指令微调所用的样本同时考虑多模态和纯文本会更好。</w:t>
      </w:r>
    </w:p>
    <w:p>
      <w:pPr>
        <w:numPr>
          <w:ilvl w:val="0"/>
          <w:numId w:val="1003"/>
        </w:numPr>
        <w:pStyle w:val="Compact"/>
      </w:pPr>
      <w:r>
        <w:t xml:space="preserve">让视觉encoder可训练会提升性能，加入层级学习率会消除遗忘和对视觉表示的损害。</w:t>
      </w:r>
    </w:p>
    <w:p>
      <w:pPr>
        <w:numPr>
          <w:ilvl w:val="0"/>
          <w:numId w:val="1003"/>
        </w:numPr>
        <w:pStyle w:val="Compact"/>
      </w:pPr>
      <w:r>
        <w:t xml:space="preserve">可学习的Query数量在64会比较好。</w:t>
      </w:r>
    </w:p>
    <w:p>
      <w:pPr>
        <w:numPr>
          <w:ilvl w:val="0"/>
          <w:numId w:val="1003"/>
        </w:numPr>
        <w:pStyle w:val="Compact"/>
      </w:pPr>
      <w:r>
        <w:t xml:space="preserve">图像分辨率越高越好。</w:t>
      </w:r>
    </w:p>
    <w:bookmarkEnd w:id="67"/>
    <w:bookmarkStart w:id="74" w:name="量化分析"/>
    <w:p>
      <w:pPr>
        <w:pStyle w:val="Heading3"/>
      </w:pPr>
      <w:r>
        <w:t xml:space="preserve">量化分析</w:t>
      </w:r>
    </w:p>
    <w:p>
      <w:pPr>
        <w:pStyle w:val="FirstParagraph"/>
      </w:pPr>
      <w:r>
        <w:t xml:space="preserve">另外，本文通过深度分析展示并验证了本文提出的模态适应模块的效果，尤其是在提升包括理解、知识、推理在内的文本任务上。</w:t>
      </w:r>
    </w:p>
    <w:p>
      <w:pPr>
        <w:pStyle w:val="CaptionedFigure"/>
      </w:pPr>
      <w:r>
        <w:drawing>
          <wp:inline>
            <wp:extent cx="5334000" cy="3855903"/>
            <wp:effectExtent b="0" l="0" r="0" t="0"/>
            <wp:docPr descr="Fig12" title="" id="69" name="Picture"/>
            <a:graphic>
              <a:graphicData uri="http://schemas.openxmlformats.org/drawingml/2006/picture">
                <pic:pic>
                  <pic:nvPicPr>
                    <pic:cNvPr descr="./fig/mPLUG-Owl2%20attention%20map.png" id="70" name="Picture"/>
                    <pic:cNvPicPr>
                      <a:picLocks noChangeArrowheads="1" noChangeAspect="1"/>
                    </pic:cNvPicPr>
                  </pic:nvPicPr>
                  <pic:blipFill>
                    <a:blip r:embed="rId68"/>
                    <a:stretch>
                      <a:fillRect/>
                    </a:stretch>
                  </pic:blipFill>
                  <pic:spPr bwMode="auto">
                    <a:xfrm>
                      <a:off x="0" y="0"/>
                      <a:ext cx="5334000" cy="3855903"/>
                    </a:xfrm>
                    <a:prstGeom prst="rect">
                      <a:avLst/>
                    </a:prstGeom>
                    <a:noFill/>
                    <a:ln w="9525">
                      <a:noFill/>
                      <a:headEnd/>
                      <a:tailEnd/>
                    </a:ln>
                  </pic:spPr>
                </pic:pic>
              </a:graphicData>
            </a:graphic>
          </wp:inline>
        </w:drawing>
      </w:r>
    </w:p>
    <w:p>
      <w:pPr>
        <w:pStyle w:val="ImageCaption"/>
      </w:pPr>
      <w:r>
        <w:t xml:space="preserve">Fig12</w:t>
      </w:r>
    </w:p>
    <w:p>
      <w:pPr>
        <w:pStyle w:val="BodyText"/>
      </w:pPr>
      <w:r>
        <w:t xml:space="preserve">在前几层模型更加关注文本token，在后几层更加关注视觉token。直观的解释是，多模态大模型会先通过句法信息理解指令，之后考虑文本输入来识别相关的视觉上下文token。</w:t>
      </w:r>
    </w:p>
    <w:p>
      <w:pPr>
        <w:pStyle w:val="BodyText"/>
      </w:pPr>
      <w:r>
        <w:t xml:space="preserve">再加入模态适应模块后，模型在前期对文本的关注度更高、后期对视觉的关注度更高。说明模态适应模块起到了阻止模态被“一视同仁”的情况。</w:t>
      </w:r>
    </w:p>
    <w:p>
      <w:pPr>
        <w:pStyle w:val="CaptionedFigure"/>
      </w:pPr>
      <w:r>
        <w:drawing>
          <wp:inline>
            <wp:extent cx="5334000" cy="5767916"/>
            <wp:effectExtent b="0" l="0" r="0" t="0"/>
            <wp:docPr descr="Fig13" title="" id="72" name="Picture"/>
            <a:graphic>
              <a:graphicData uri="http://schemas.openxmlformats.org/drawingml/2006/picture">
                <pic:pic>
                  <pic:nvPicPr>
                    <pic:cNvPr descr="./fig/mPLUG-Owl2%20image%20text%20seperation.png" id="73" name="Picture"/>
                    <pic:cNvPicPr>
                      <a:picLocks noChangeArrowheads="1" noChangeAspect="1"/>
                    </pic:cNvPicPr>
                  </pic:nvPicPr>
                  <pic:blipFill>
                    <a:blip r:embed="rId71"/>
                    <a:stretch>
                      <a:fillRect/>
                    </a:stretch>
                  </pic:blipFill>
                  <pic:spPr bwMode="auto">
                    <a:xfrm>
                      <a:off x="0" y="0"/>
                      <a:ext cx="5334000" cy="5767916"/>
                    </a:xfrm>
                    <a:prstGeom prst="rect">
                      <a:avLst/>
                    </a:prstGeom>
                    <a:noFill/>
                    <a:ln w="9525">
                      <a:noFill/>
                      <a:headEnd/>
                      <a:tailEnd/>
                    </a:ln>
                  </pic:spPr>
                </pic:pic>
              </a:graphicData>
            </a:graphic>
          </wp:inline>
        </w:drawing>
      </w:r>
    </w:p>
    <w:p>
      <w:pPr>
        <w:pStyle w:val="ImageCaption"/>
      </w:pPr>
      <w:r>
        <w:t xml:space="preserve">Fig13</w:t>
      </w:r>
    </w:p>
    <w:p>
      <w:pPr>
        <w:pStyle w:val="BodyText"/>
      </w:pPr>
      <w:r>
        <w:t xml:space="preserve">当问的问题和图片毫无关系的时候，加入模态适应模块更能将注意力引导向文本，回答更加正确。</w:t>
      </w:r>
    </w:p>
    <w:bookmarkEnd w:id="74"/>
    <w:bookmarkEnd w:id="75"/>
    <w:bookmarkStart w:id="76" w:name="个人感想"/>
    <w:p>
      <w:pPr>
        <w:pStyle w:val="Heading2"/>
      </w:pPr>
      <w:r>
        <w:t xml:space="preserve">个人感想</w:t>
      </w:r>
    </w:p>
    <w:p>
      <w:pPr>
        <w:pStyle w:val="FirstParagraph"/>
      </w:pPr>
      <w:r>
        <w:t xml:space="preserve">特色：</w:t>
      </w:r>
    </w:p>
    <w:p>
      <w:pPr>
        <w:numPr>
          <w:ilvl w:val="0"/>
          <w:numId w:val="1004"/>
        </w:numPr>
        <w:pStyle w:val="Compact"/>
      </w:pPr>
      <w:r>
        <w:t xml:space="preserve">加入模态适应模块，本质上就是一种模态分离的注意力机制。防止颗粒度不对齐（打破维度、横向突破）。</w:t>
      </w:r>
    </w:p>
    <w:p>
      <w:pPr>
        <w:numPr>
          <w:ilvl w:val="0"/>
          <w:numId w:val="1004"/>
        </w:numPr>
        <w:pStyle w:val="Compact"/>
      </w:pPr>
      <w:r>
        <w:t xml:space="preserve">加入视觉提炼器，提升视觉信息密度、降低计算量。</w:t>
      </w:r>
    </w:p>
    <w:p>
      <w:pPr>
        <w:numPr>
          <w:ilvl w:val="0"/>
          <w:numId w:val="1004"/>
        </w:numPr>
        <w:pStyle w:val="Compact"/>
      </w:pPr>
      <w:r>
        <w:t xml:space="preserve">利用注意力地图量化分析，揭露问题从而方便找到创新点。</w:t>
      </w:r>
    </w:p>
    <w:p>
      <w:pPr>
        <w:pStyle w:val="FirstParagraph"/>
      </w:pPr>
      <w:r>
        <w:t xml:space="preserve">创新方向：</w:t>
      </w:r>
    </w:p>
    <w:p>
      <w:pPr>
        <w:numPr>
          <w:ilvl w:val="0"/>
          <w:numId w:val="1005"/>
        </w:numPr>
        <w:pStyle w:val="Compact"/>
      </w:pPr>
      <w:r>
        <w:t xml:space="preserve">mPLUG-Owl2理解能力强，但是推理能力弱。而LLaVA推理能力很强。有没有合并的可能？</w:t>
      </w:r>
    </w:p>
    <w:p>
      <w:pPr>
        <w:numPr>
          <w:ilvl w:val="0"/>
          <w:numId w:val="1005"/>
        </w:numPr>
        <w:pStyle w:val="Compact"/>
      </w:pPr>
      <w:r>
        <w:t xml:space="preserve">接受更多模态，提高通用性，做一个万能大模型（3D点云、图片seq）。</w:t>
      </w:r>
    </w:p>
    <w:p>
      <w:pPr>
        <w:numPr>
          <w:ilvl w:val="0"/>
          <w:numId w:val="1005"/>
        </w:numPr>
        <w:pStyle w:val="Compact"/>
      </w:pPr>
      <w:r>
        <w:t xml:space="preserve">能否将分离的思想应用到处理多张照片中，获得图片之间的联系？</w:t>
      </w:r>
    </w:p>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0" Target="media/rId2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2024-06-20T10:32:43Z</dcterms:created>
  <dcterms:modified xsi:type="dcterms:W3CDTF">2024-06-20T10:32:43Z</dcterms:modified>
</cp:coreProperties>
</file>

<file path=docProps/custom.xml><?xml version="1.0" encoding="utf-8"?>
<Properties xmlns="http://schemas.openxmlformats.org/officeDocument/2006/custom-properties" xmlns:vt="http://schemas.openxmlformats.org/officeDocument/2006/docPropsVTypes"/>
</file>