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Incremental-validity claims for test-adequacy metrics are not resolvable</w:t>
      </w:r>
    </w:p>
    <w:p>
      <w:pPr>
        <w:pStyle w:val="ListBullet"/>
      </w:pPr>
      <w:r>
        <w:t>A behavioural feature block's R2 gain has a 95% interval width of 0.06-0.15</w:t>
      </w:r>
    </w:p>
    <w:p>
      <w:pPr>
        <w:pStyle w:val="ListBullet"/>
      </w:pPr>
      <w:r>
        <w:t>Project-level confounding alone manufactures false increments in up to 82% of runs</w:t>
      </w:r>
    </w:p>
    <w:p>
      <w:pPr>
        <w:pStyle w:val="ListBullet"/>
      </w:pPr>
      <w:r>
        <w:t>Fixed effects hold that rate below 1% on two benchmarks in two languages</w:t>
      </w:r>
    </w:p>
    <w:p>
      <w:pPr>
        <w:pStyle w:val="ListBullet"/>
      </w:pPr>
      <w:r>
        <w:t>Resolving a 0.05 half-width needs ~100-150 fault versions, 0.02 needs ~200-300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