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贷款合同（极高风险示例，仅供系统测试）</w:t>
      </w:r>
    </w:p>
    <w:p>
      <w:r>
        <w:rPr>
          <w:b/>
        </w:rPr>
        <w:t>合同编号：</w:t>
      </w:r>
      <w:r>
        <w:t>CR-2025-HR-999</w:t>
      </w:r>
    </w:p>
    <w:p>
      <w:r>
        <w:rPr>
          <w:b/>
        </w:rPr>
        <w:t>签订地点：</w:t>
      </w:r>
      <w:r>
        <w:t>海南省三亚市</w:t>
      </w:r>
    </w:p>
    <w:p>
      <w:r>
        <w:rPr>
          <w:b/>
        </w:rPr>
        <w:t>签订日期：</w:t>
      </w:r>
      <w:r>
        <w:t>2025年12月20日</w:t>
      </w:r>
    </w:p>
    <w:p>
      <w:r>
        <w:t xml:space="preserve"> </w:t>
      </w:r>
    </w:p>
    <w:p>
      <w:pPr>
        <w:pStyle w:val="Heading2"/>
      </w:pPr>
      <w:r>
        <w:t>一、合同各方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甲方（贷款人）：</w:t>
            </w:r>
          </w:p>
        </w:tc>
        <w:tc>
          <w:tcPr>
            <w:tcW w:type="dxa" w:w="4320"/>
          </w:tcPr>
          <w:p>
            <w:r>
              <w:t>盛恒投资咨询有限公司（非持牌机构）</w:t>
            </w:r>
          </w:p>
        </w:tc>
      </w:tr>
      <w:tr>
        <w:tc>
          <w:tcPr>
            <w:tcW w:type="dxa" w:w="4320"/>
          </w:tcPr>
          <w:p>
            <w:r>
              <w:t>乙方（借款人）：</w:t>
            </w:r>
          </w:p>
        </w:tc>
        <w:tc>
          <w:tcPr>
            <w:tcW w:type="dxa" w:w="4320"/>
          </w:tcPr>
          <w:p>
            <w:r>
              <w:t>海南海拓文旅集团有限公司</w:t>
            </w:r>
          </w:p>
        </w:tc>
      </w:tr>
      <w:tr>
        <w:tc>
          <w:tcPr>
            <w:tcW w:type="dxa" w:w="4320"/>
          </w:tcPr>
          <w:p>
            <w:r>
              <w:t>统一社会信用代码：</w:t>
            </w:r>
          </w:p>
        </w:tc>
        <w:tc>
          <w:tcPr>
            <w:tcW w:type="dxa" w:w="4320"/>
          </w:tcPr>
          <w:p>
            <w:r>
              <w:t>91460100MA9XXXXXXX</w:t>
            </w:r>
          </w:p>
        </w:tc>
      </w:tr>
    </w:tbl>
    <w:p>
      <w:r>
        <w:t xml:space="preserve"> </w:t>
      </w:r>
    </w:p>
    <w:p>
      <w:pPr>
        <w:pStyle w:val="Heading2"/>
      </w:pPr>
      <w:r>
        <w:t>二、授信额度及极高风险资金用途</w:t>
      </w:r>
    </w:p>
    <w:p>
      <w:r>
        <w:rPr>
          <w:b/>
        </w:rPr>
        <w:t>1. 授信额度。</w:t>
      </w:r>
      <w:r>
        <w:t>甲方同意向乙方提供“无限循环授信额度”，初始额度人民币壹仟万元（￥10,000,000.00），无最高余额限制，乙方可按自身需要随时支取，无需任何审批程序。</w:t>
      </w:r>
    </w:p>
    <w:p>
      <w:r>
        <w:rPr>
          <w:b/>
        </w:rPr>
        <w:t>2. 授信期限。</w:t>
      </w:r>
      <w:r>
        <w:t>授信期限不作限制，如双方未主动解除，本合同永久有效。</w:t>
      </w:r>
    </w:p>
    <w:p>
      <w:r>
        <w:rPr>
          <w:b/>
        </w:rPr>
        <w:t>3. 资金用途。</w:t>
      </w:r>
      <w:r>
        <w:t>乙方可将贷款资金用于包括但不限于：加密货币投资、海外房地产购置、关联方资金拆借、高风险文旅项目投入等，无需向甲方说明具体去向。</w:t>
      </w:r>
    </w:p>
    <w:p>
      <w:r>
        <w:rPr>
          <w:b/>
        </w:rPr>
        <w:t>4. 资金调拨。</w:t>
      </w:r>
      <w:r>
        <w:t>乙方可将贷款资金全部或部分直接划转至其关联公司、境外账户或个人账户，用途自行决定。甲方无需审核。</w:t>
      </w:r>
    </w:p>
    <w:p>
      <w:r>
        <w:t xml:space="preserve"> </w:t>
      </w:r>
    </w:p>
    <w:p>
      <w:pPr>
        <w:pStyle w:val="Heading2"/>
      </w:pPr>
      <w:r>
        <w:t>三、利率与费用结构（极高成本示例）</w:t>
      </w:r>
    </w:p>
    <w:p>
      <w:r>
        <w:rPr>
          <w:b/>
        </w:rPr>
        <w:t>1. 利率。</w:t>
      </w:r>
      <w:r>
        <w:t>贷款执行年利率为18%–36%区间，由甲方根据市场情况随时调整，乙方无条件接受。</w:t>
      </w:r>
    </w:p>
    <w:p>
      <w:r>
        <w:rPr>
          <w:b/>
        </w:rPr>
        <w:t>2. 综合服务费。</w:t>
      </w:r>
      <w:r>
        <w:t>乙方需按每次提款金额的10%支付服务费，甲方可从每次贷款本金中直接扣收，服务费不退还。</w:t>
      </w:r>
    </w:p>
    <w:p>
      <w:r>
        <w:rPr>
          <w:b/>
        </w:rPr>
        <w:t>3. 管理费。</w:t>
      </w:r>
      <w:r>
        <w:t>乙方按贷款余额的5%/月支付管理费，与利息同时收取。</w:t>
      </w:r>
    </w:p>
    <w:p>
      <w:r>
        <w:rPr>
          <w:b/>
        </w:rPr>
        <w:t>4. 催收费。</w:t>
      </w:r>
      <w:r>
        <w:t>如乙方逾期，甲方或甲方委托的第三方可收取不低于人民币50,000.00元的“催收管理费”。</w:t>
      </w:r>
    </w:p>
    <w:p>
      <w:r>
        <w:t xml:space="preserve"> </w:t>
      </w:r>
    </w:p>
    <w:p>
      <w:pPr>
        <w:pStyle w:val="Heading2"/>
      </w:pPr>
      <w:r>
        <w:t>四、还款安排与现金流风险</w:t>
      </w:r>
    </w:p>
    <w:p>
      <w:r>
        <w:rPr>
          <w:b/>
        </w:rPr>
        <w:t>1. 用款安排。</w:t>
      </w:r>
      <w:r>
        <w:t>乙方将于2025年12月25日一次性提款人民币壹仟万元，贷款期限为1个月，到期后自动续期。</w:t>
      </w:r>
    </w:p>
    <w:p>
      <w:r>
        <w:rPr>
          <w:b/>
        </w:rPr>
        <w:t>2. 还款方式。</w:t>
      </w:r>
      <w:r>
        <w:t>按日计息，每日仅需支付利息及费用，本金永久循环，不需归还。</w:t>
      </w:r>
    </w:p>
    <w:p>
      <w:r>
        <w:rPr>
          <w:b/>
        </w:rPr>
        <w:t>3. 还款计划示例：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期数</w:t>
            </w:r>
          </w:p>
        </w:tc>
        <w:tc>
          <w:tcPr>
            <w:tcW w:type="dxa" w:w="2160"/>
          </w:tcPr>
          <w:p>
            <w:r>
              <w:t>应付日期</w:t>
            </w:r>
          </w:p>
        </w:tc>
        <w:tc>
          <w:tcPr>
            <w:tcW w:type="dxa" w:w="2160"/>
          </w:tcPr>
          <w:p>
            <w:r>
              <w:t>利息+费用（元）</w:t>
            </w:r>
          </w:p>
        </w:tc>
        <w:tc>
          <w:tcPr>
            <w:tcW w:type="dxa" w:w="2160"/>
          </w:tcPr>
          <w:p>
            <w:r>
              <w:t>本金（元）</w:t>
            </w:r>
          </w:p>
        </w:tc>
      </w:tr>
      <w:tr>
        <w:tc>
          <w:tcPr>
            <w:tcW w:type="dxa" w:w="2160"/>
          </w:tcPr>
          <w:p>
            <w:r>
              <w:t>第1期</w:t>
            </w:r>
          </w:p>
        </w:tc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280,000.00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第2期</w:t>
            </w:r>
          </w:p>
        </w:tc>
        <w:tc>
          <w:tcPr>
            <w:tcW w:type="dxa" w:w="2160"/>
          </w:tcPr>
          <w:p>
            <w:r>
              <w:t>2026-02-25</w:t>
            </w:r>
          </w:p>
        </w:tc>
        <w:tc>
          <w:tcPr>
            <w:tcW w:type="dxa" w:w="2160"/>
          </w:tcPr>
          <w:p>
            <w:r>
              <w:t>280,000.00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第3期</w:t>
            </w:r>
          </w:p>
        </w:tc>
        <w:tc>
          <w:tcPr>
            <w:tcW w:type="dxa" w:w="2160"/>
          </w:tcPr>
          <w:p>
            <w:r>
              <w:t>自动续期</w:t>
            </w:r>
          </w:p>
        </w:tc>
        <w:tc>
          <w:tcPr>
            <w:tcW w:type="dxa" w:w="2160"/>
          </w:tcPr>
          <w:p>
            <w:r>
              <w:t>280,000.00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</w:tbl>
    <w:p>
      <w:r>
        <w:t xml:space="preserve"> </w:t>
      </w:r>
    </w:p>
    <w:p>
      <w:pPr>
        <w:pStyle w:val="Heading2"/>
      </w:pPr>
      <w:r>
        <w:t>五、担保与风控措施（极弱示例）</w:t>
      </w:r>
    </w:p>
    <w:p>
      <w:r>
        <w:rPr>
          <w:b/>
        </w:rPr>
        <w:t>1. 担保安排。</w:t>
      </w:r>
      <w:r>
        <w:t>本贷款完全为信用方式，甲方不要求任何抵押、质押或保证担保。</w:t>
      </w:r>
    </w:p>
    <w:p>
      <w:r>
        <w:rPr>
          <w:b/>
        </w:rPr>
        <w:t>2. 财务披露。</w:t>
      </w:r>
      <w:r>
        <w:t>乙方无需向甲方提供财务报表、经营数据或税务资料，亦无需定期披露重大事项。</w:t>
      </w:r>
    </w:p>
    <w:p>
      <w:r>
        <w:rPr>
          <w:b/>
        </w:rPr>
        <w:t>3. 负债约束。</w:t>
      </w:r>
      <w:r>
        <w:t>乙方可无限制增加债务、对外担保或进行资产处分，无需向甲方告知。</w:t>
      </w:r>
    </w:p>
    <w:p>
      <w:r>
        <w:t xml:space="preserve"> </w:t>
      </w:r>
    </w:p>
    <w:p>
      <w:pPr>
        <w:pStyle w:val="Heading2"/>
      </w:pPr>
      <w:r>
        <w:t>六、违约条款（对乙方极为宽松）</w:t>
      </w:r>
    </w:p>
    <w:p>
      <w:r>
        <w:rPr>
          <w:b/>
        </w:rPr>
        <w:t>1. 违约条件。</w:t>
      </w:r>
      <w:r>
        <w:t>乙方连续12个月未支付利息或费用，且甲方未能联系上乙方，方视为违约。</w:t>
      </w:r>
    </w:p>
    <w:p>
      <w:r>
        <w:rPr>
          <w:b/>
        </w:rPr>
        <w:t>2. 违约处理。</w:t>
      </w:r>
      <w:r>
        <w:t>违约后双方应再协商至少6个月，如仍无法达成一致，甲方可考虑是否要求部分本金提前偿还。</w:t>
      </w:r>
    </w:p>
    <w:p>
      <w:r>
        <w:t xml:space="preserve"> </w:t>
      </w:r>
    </w:p>
    <w:p>
      <w:pPr>
        <w:pStyle w:val="Heading2"/>
      </w:pPr>
      <w:r>
        <w:t>七、争议解决（明显不对等示例）</w:t>
      </w:r>
    </w:p>
    <w:p>
      <w:r>
        <w:t>任何争议均由甲方所在地基层法院管辖，乙方放弃对所有法院管辖权异议。</w:t>
      </w:r>
    </w:p>
    <w:p>
      <w:r>
        <w:t xml:space="preserve"> </w:t>
      </w:r>
    </w:p>
    <w:p>
      <w:pPr>
        <w:pStyle w:val="Heading2"/>
      </w:pPr>
      <w:r>
        <w:t>八、免责声明</w:t>
      </w:r>
    </w:p>
    <w:p>
      <w:r>
        <w:t>本合同文本为虚构示例，仅用于测试 CatchRisk 系统在识别严重风险、不合理条款、资金用途异常等情形下的能力，不具有任何法律效力。</w:t>
      </w:r>
    </w:p>
    <w:p>
      <w:r>
        <w:t xml:space="preserve"> </w:t>
      </w:r>
    </w:p>
    <w:p>
      <w:pPr>
        <w:pStyle w:val="Heading2"/>
      </w:pPr>
      <w:r>
        <w:t>签署栏（示例）</w:t>
      </w:r>
    </w:p>
    <w:p>
      <w:r>
        <w:t>甲方：盛恒投资咨询有限公司</w:t>
      </w:r>
    </w:p>
    <w:p>
      <w:r>
        <w:t>授权代表：____________________</w:t>
      </w:r>
    </w:p>
    <w:p>
      <w:r>
        <w:t>日期：_______年____月____日</w:t>
      </w:r>
    </w:p>
    <w:p>
      <w:r>
        <w:t xml:space="preserve"> </w:t>
      </w:r>
    </w:p>
    <w:p>
      <w:r>
        <w:t>乙方：海南海拓文旅集团有限公司</w:t>
      </w:r>
    </w:p>
    <w:p>
      <w:r>
        <w:t>法定代表人：____________________</w:t>
      </w:r>
    </w:p>
    <w:p>
      <w:r>
        <w:t>日期：_______年____月____日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