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259C" w14:textId="7587AB62" w:rsidR="00F203F6" w:rsidRPr="00063867" w:rsidRDefault="00495BA7">
      <w:pPr>
        <w:rPr>
          <w:rFonts w:ascii="Times New Roman" w:hAnsi="Times New Roman" w:cs="Times New Roman"/>
          <w:b/>
          <w:bCs/>
        </w:rPr>
      </w:pPr>
      <w:r w:rsidRPr="00063867">
        <w:rPr>
          <w:rFonts w:ascii="Times New Roman" w:hAnsi="Times New Roman" w:cs="Times New Roman"/>
          <w:b/>
          <w:bCs/>
        </w:rPr>
        <w:t xml:space="preserve">Gold and Portfolio Risk Management: </w:t>
      </w:r>
      <w:proofErr w:type="gramStart"/>
      <w:r w:rsidRPr="00063867">
        <w:rPr>
          <w:rFonts w:ascii="Times New Roman" w:hAnsi="Times New Roman" w:cs="Times New Roman"/>
          <w:b/>
          <w:bCs/>
        </w:rPr>
        <w:t>Safe Haven</w:t>
      </w:r>
      <w:proofErr w:type="gramEnd"/>
      <w:r w:rsidRPr="00063867">
        <w:rPr>
          <w:rFonts w:ascii="Times New Roman" w:hAnsi="Times New Roman" w:cs="Times New Roman"/>
          <w:b/>
          <w:bCs/>
        </w:rPr>
        <w:t>, Diversifier, and Strategy Perspectives</w:t>
      </w:r>
    </w:p>
    <w:p w14:paraId="34B071E7" w14:textId="39789643" w:rsidR="00495BA7" w:rsidRPr="00063867" w:rsidRDefault="00495BA7">
      <w:pPr>
        <w:rPr>
          <w:rFonts w:ascii="Times New Roman" w:hAnsi="Times New Roman" w:cs="Times New Roman"/>
          <w:b/>
          <w:bCs/>
        </w:rPr>
      </w:pPr>
      <w:r w:rsidRPr="00063867">
        <w:rPr>
          <w:rFonts w:ascii="Times New Roman" w:hAnsi="Times New Roman" w:cs="Times New Roman"/>
          <w:b/>
          <w:bCs/>
        </w:rPr>
        <w:t xml:space="preserve">Group: </w:t>
      </w:r>
      <w:proofErr w:type="spellStart"/>
      <w:r w:rsidRPr="00063867">
        <w:rPr>
          <w:rFonts w:ascii="Times New Roman" w:hAnsi="Times New Roman" w:cs="Times New Roman"/>
          <w:b/>
          <w:bCs/>
        </w:rPr>
        <w:t>Junkuang</w:t>
      </w:r>
      <w:proofErr w:type="spellEnd"/>
      <w:r w:rsidRPr="00063867">
        <w:rPr>
          <w:rFonts w:ascii="Times New Roman" w:hAnsi="Times New Roman" w:cs="Times New Roman"/>
          <w:b/>
          <w:bCs/>
        </w:rPr>
        <w:t xml:space="preserve"> Lai, Randy Shi, Sakshi </w:t>
      </w:r>
      <w:proofErr w:type="spellStart"/>
      <w:r w:rsidRPr="00063867">
        <w:rPr>
          <w:rFonts w:ascii="Times New Roman" w:hAnsi="Times New Roman" w:cs="Times New Roman"/>
          <w:b/>
          <w:bCs/>
        </w:rPr>
        <w:t>Saindane</w:t>
      </w:r>
      <w:proofErr w:type="spellEnd"/>
    </w:p>
    <w:p w14:paraId="65B17286" w14:textId="7B7333DC" w:rsidR="00495BA7" w:rsidRPr="00063867" w:rsidRDefault="00495BA7" w:rsidP="00495BA7">
      <w:pPr>
        <w:pStyle w:val="a9"/>
        <w:numPr>
          <w:ilvl w:val="0"/>
          <w:numId w:val="1"/>
        </w:numPr>
        <w:rPr>
          <w:rFonts w:ascii="Times New Roman" w:hAnsi="Times New Roman" w:cs="Times New Roman"/>
          <w:b/>
          <w:bCs/>
        </w:rPr>
      </w:pPr>
      <w:r w:rsidRPr="00063867">
        <w:rPr>
          <w:rFonts w:ascii="Times New Roman" w:hAnsi="Times New Roman" w:cs="Times New Roman"/>
          <w:b/>
          <w:bCs/>
        </w:rPr>
        <w:t>Proposed Topic</w:t>
      </w:r>
    </w:p>
    <w:p w14:paraId="6EFFB9EF" w14:textId="0984688F" w:rsidR="00495BA7" w:rsidRPr="00063867" w:rsidRDefault="00495BA7" w:rsidP="00495BA7">
      <w:pPr>
        <w:rPr>
          <w:rFonts w:ascii="Times New Roman" w:hAnsi="Times New Roman" w:cs="Times New Roman"/>
        </w:rPr>
      </w:pPr>
      <w:r w:rsidRPr="00063867">
        <w:rPr>
          <w:rFonts w:ascii="Times New Roman" w:hAnsi="Times New Roman" w:cs="Times New Roman"/>
        </w:rPr>
        <w:t>We compare gold, factor-based commodity portfolios, and equities to analyze their roles as hedges, diversifiers, and sources of risk premia. Gold has long been viewed as a safe-haven asset, while factor-based commodities represent systematic commodity exposures, and equities remain the core risky asset in most portfolios. By analyzing these three side by side, we connect hedging effectiveness, factor exposures, and diversification to data-driven methods and deliverables. This is consistent with the course's emphasis on risk, asset allocation, and evidence-based implementation.</w:t>
      </w:r>
    </w:p>
    <w:p w14:paraId="56D99DC6" w14:textId="77777777" w:rsidR="00495BA7" w:rsidRPr="00063867" w:rsidRDefault="00495BA7" w:rsidP="00495BA7">
      <w:pPr>
        <w:rPr>
          <w:rFonts w:ascii="Times New Roman" w:hAnsi="Times New Roman" w:cs="Times New Roman"/>
        </w:rPr>
      </w:pPr>
    </w:p>
    <w:p w14:paraId="4847D468" w14:textId="7E47FC0E" w:rsidR="00495BA7" w:rsidRPr="00063867" w:rsidRDefault="00495BA7" w:rsidP="00495BA7">
      <w:pPr>
        <w:pStyle w:val="a9"/>
        <w:numPr>
          <w:ilvl w:val="0"/>
          <w:numId w:val="1"/>
        </w:numPr>
        <w:rPr>
          <w:rFonts w:ascii="Times New Roman" w:hAnsi="Times New Roman" w:cs="Times New Roman"/>
          <w:b/>
          <w:bCs/>
        </w:rPr>
      </w:pPr>
      <w:r w:rsidRPr="00063867">
        <w:rPr>
          <w:rFonts w:ascii="Times New Roman" w:hAnsi="Times New Roman" w:cs="Times New Roman"/>
          <w:b/>
          <w:bCs/>
        </w:rPr>
        <w:t>Proposed claim / hypothesis /argument(s) and methodology</w:t>
      </w:r>
    </w:p>
    <w:p w14:paraId="0BFA223C" w14:textId="5397A19A" w:rsidR="00495BA7" w:rsidRPr="00063867" w:rsidRDefault="00495BA7" w:rsidP="00495BA7">
      <w:pPr>
        <w:pStyle w:val="a9"/>
        <w:numPr>
          <w:ilvl w:val="1"/>
          <w:numId w:val="1"/>
        </w:numPr>
        <w:rPr>
          <w:rFonts w:ascii="Times New Roman" w:hAnsi="Times New Roman" w:cs="Times New Roman"/>
          <w:b/>
          <w:bCs/>
        </w:rPr>
      </w:pPr>
      <w:r w:rsidRPr="00063867">
        <w:rPr>
          <w:rFonts w:ascii="Times New Roman" w:hAnsi="Times New Roman" w:cs="Times New Roman"/>
          <w:b/>
          <w:bCs/>
        </w:rPr>
        <w:t>Thesis</w:t>
      </w:r>
    </w:p>
    <w:p w14:paraId="244DB14D" w14:textId="1A629DB7" w:rsidR="00495BA7" w:rsidRPr="00063867" w:rsidRDefault="007E6AF6" w:rsidP="007E6AF6">
      <w:pPr>
        <w:rPr>
          <w:rFonts w:ascii="Times New Roman" w:hAnsi="Times New Roman" w:cs="Times New Roman"/>
        </w:rPr>
      </w:pPr>
      <w:r w:rsidRPr="00063867">
        <w:rPr>
          <w:rFonts w:ascii="Times New Roman" w:hAnsi="Times New Roman" w:cs="Times New Roman"/>
        </w:rPr>
        <w:t xml:space="preserve">Gold’s unconditional buy-and-hold delivers modest returns, but a risk-managed approach that is real-rate–aware and term-structure–informed can materially improve risk-adjusted performance while preserving diversification during equity stress and inflation surprises; although gold’s role as </w:t>
      </w:r>
      <w:proofErr w:type="gramStart"/>
      <w:r w:rsidRPr="00063867">
        <w:rPr>
          <w:rFonts w:ascii="Times New Roman" w:hAnsi="Times New Roman" w:cs="Times New Roman"/>
        </w:rPr>
        <w:t>a safe haven</w:t>
      </w:r>
      <w:proofErr w:type="gramEnd"/>
      <w:r w:rsidRPr="00063867">
        <w:rPr>
          <w:rFonts w:ascii="Times New Roman" w:hAnsi="Times New Roman" w:cs="Times New Roman"/>
        </w:rPr>
        <w:t xml:space="preserve"> is unique, factor-based commodity portfolios may replicate or complement its hedging benefits.</w:t>
      </w:r>
    </w:p>
    <w:p w14:paraId="168A7AC1" w14:textId="77777777" w:rsidR="007E6AF6" w:rsidRPr="00063867" w:rsidRDefault="007E6AF6" w:rsidP="007E6AF6">
      <w:pPr>
        <w:rPr>
          <w:rFonts w:ascii="Times New Roman" w:hAnsi="Times New Roman" w:cs="Times New Roman"/>
        </w:rPr>
      </w:pPr>
    </w:p>
    <w:p w14:paraId="1FEC4E63" w14:textId="4C60E473" w:rsidR="007E6AF6" w:rsidRPr="00063867" w:rsidRDefault="007E6AF6" w:rsidP="007E6AF6">
      <w:pPr>
        <w:pStyle w:val="a9"/>
        <w:numPr>
          <w:ilvl w:val="1"/>
          <w:numId w:val="1"/>
        </w:numPr>
        <w:rPr>
          <w:rFonts w:ascii="Times New Roman" w:hAnsi="Times New Roman" w:cs="Times New Roman"/>
          <w:b/>
          <w:bCs/>
        </w:rPr>
      </w:pPr>
      <w:r w:rsidRPr="00063867">
        <w:rPr>
          <w:rFonts w:ascii="Times New Roman" w:hAnsi="Times New Roman" w:cs="Times New Roman"/>
          <w:b/>
          <w:bCs/>
        </w:rPr>
        <w:t>Research Questions &amp; Hypotheses</w:t>
      </w:r>
    </w:p>
    <w:p w14:paraId="6E0A66CC" w14:textId="481BBFA3" w:rsidR="007E6AF6" w:rsidRPr="00063867" w:rsidRDefault="007E6AF6" w:rsidP="007E6AF6">
      <w:pPr>
        <w:rPr>
          <w:rFonts w:ascii="Times New Roman" w:hAnsi="Times New Roman" w:cs="Times New Roman"/>
        </w:rPr>
      </w:pPr>
      <w:r w:rsidRPr="00063867">
        <w:rPr>
          <w:rFonts w:ascii="Times New Roman" w:hAnsi="Times New Roman" w:cs="Times New Roman"/>
        </w:rPr>
        <w:t>RQ1 – Macro Drivers. What explains time-variation in gold returns?</w:t>
      </w:r>
    </w:p>
    <w:p w14:paraId="5B86FFA2" w14:textId="1EF43975" w:rsidR="007E6AF6" w:rsidRPr="00063867" w:rsidRDefault="007E6AF6" w:rsidP="007E6AF6">
      <w:pPr>
        <w:rPr>
          <w:rFonts w:ascii="Times New Roman" w:hAnsi="Times New Roman" w:cs="Times New Roman"/>
        </w:rPr>
      </w:pPr>
      <w:r w:rsidRPr="00063867">
        <w:rPr>
          <w:rFonts w:ascii="Times New Roman" w:hAnsi="Times New Roman" w:cs="Times New Roman"/>
        </w:rPr>
        <w:t>H1: Real yields (TIPS) and the broad USD dominate; inflation surprises and risk-off</w:t>
      </w:r>
    </w:p>
    <w:p w14:paraId="7962D189" w14:textId="6509C137" w:rsidR="007E6AF6" w:rsidRPr="00063867" w:rsidRDefault="007E6AF6" w:rsidP="007E6AF6">
      <w:pPr>
        <w:rPr>
          <w:rFonts w:ascii="Times New Roman" w:hAnsi="Times New Roman" w:cs="Times New Roman"/>
        </w:rPr>
      </w:pPr>
      <w:r w:rsidRPr="00063867">
        <w:rPr>
          <w:rFonts w:ascii="Times New Roman" w:hAnsi="Times New Roman" w:cs="Times New Roman"/>
        </w:rPr>
        <w:t>proxies (VIX/MOVE) add state dependence.</w:t>
      </w:r>
    </w:p>
    <w:p w14:paraId="16ED8607" w14:textId="77777777" w:rsidR="007E6AF6" w:rsidRPr="00063867" w:rsidRDefault="007E6AF6" w:rsidP="007E6AF6">
      <w:pPr>
        <w:rPr>
          <w:rFonts w:ascii="Times New Roman" w:hAnsi="Times New Roman" w:cs="Times New Roman"/>
        </w:rPr>
      </w:pPr>
    </w:p>
    <w:p w14:paraId="5015D2BB" w14:textId="77777777" w:rsidR="007E6AF6" w:rsidRPr="00063867" w:rsidRDefault="007E6AF6" w:rsidP="007E6AF6">
      <w:pPr>
        <w:rPr>
          <w:rFonts w:ascii="Times New Roman" w:hAnsi="Times New Roman" w:cs="Times New Roman"/>
        </w:rPr>
      </w:pPr>
      <w:r w:rsidRPr="00063867">
        <w:rPr>
          <w:rFonts w:ascii="Times New Roman" w:hAnsi="Times New Roman" w:cs="Times New Roman"/>
        </w:rPr>
        <w:t>RQ2 – Portfolio Roles. How effective are these assets in hedging and diversification?</w:t>
      </w:r>
    </w:p>
    <w:p w14:paraId="1F452920" w14:textId="70422AE5" w:rsidR="007E6AF6" w:rsidRPr="00063867" w:rsidRDefault="007E6AF6" w:rsidP="007E6AF6">
      <w:pPr>
        <w:rPr>
          <w:rFonts w:ascii="Times New Roman" w:hAnsi="Times New Roman" w:cs="Times New Roman"/>
        </w:rPr>
      </w:pPr>
      <w:r w:rsidRPr="00063867">
        <w:rPr>
          <w:rFonts w:ascii="Times New Roman" w:hAnsi="Times New Roman" w:cs="Times New Roman"/>
        </w:rPr>
        <w:t>H2: Gold provides convex equity drawdown protection; factor commodities diversify via low intra-commodity correlations; equities dominate long-run growth but amplify systemic risk.</w:t>
      </w:r>
    </w:p>
    <w:p w14:paraId="520F2F6F" w14:textId="77777777" w:rsidR="007E6AF6" w:rsidRPr="00063867" w:rsidRDefault="007E6AF6" w:rsidP="007E6AF6">
      <w:pPr>
        <w:rPr>
          <w:rFonts w:ascii="Times New Roman" w:hAnsi="Times New Roman" w:cs="Times New Roman"/>
        </w:rPr>
      </w:pPr>
    </w:p>
    <w:p w14:paraId="289ACBE7" w14:textId="77777777" w:rsidR="007E6AF6" w:rsidRPr="00063867" w:rsidRDefault="007E6AF6" w:rsidP="007E6AF6">
      <w:pPr>
        <w:rPr>
          <w:rFonts w:ascii="Times New Roman" w:hAnsi="Times New Roman" w:cs="Times New Roman"/>
        </w:rPr>
      </w:pPr>
      <w:r w:rsidRPr="00063867">
        <w:rPr>
          <w:rFonts w:ascii="Times New Roman" w:hAnsi="Times New Roman" w:cs="Times New Roman"/>
        </w:rPr>
        <w:t>RQ3 – Substitutability. Can factor-based commodity portfolios replace or complement gold in a diversified equity portfolio?</w:t>
      </w:r>
    </w:p>
    <w:p w14:paraId="09DB8F6A" w14:textId="558D3808" w:rsidR="007E6AF6" w:rsidRPr="00063867" w:rsidRDefault="007E6AF6" w:rsidP="007E6AF6">
      <w:pPr>
        <w:rPr>
          <w:rFonts w:ascii="Times New Roman" w:hAnsi="Times New Roman" w:cs="Times New Roman"/>
        </w:rPr>
      </w:pPr>
      <w:r w:rsidRPr="00063867">
        <w:rPr>
          <w:rFonts w:ascii="Times New Roman" w:hAnsi="Times New Roman" w:cs="Times New Roman"/>
        </w:rPr>
        <w:lastRenderedPageBreak/>
        <w:t>H3: Factor commodities improve Sharpe ratios, but gold remains superior for tail-risk hedging.</w:t>
      </w:r>
    </w:p>
    <w:p w14:paraId="6A6575E4" w14:textId="5CE06BA3" w:rsidR="00063867" w:rsidRPr="00063867" w:rsidRDefault="00063867" w:rsidP="007E6AF6">
      <w:pPr>
        <w:rPr>
          <w:rFonts w:ascii="Times New Roman" w:hAnsi="Times New Roman" w:cs="Times New Roman"/>
        </w:rPr>
      </w:pPr>
    </w:p>
    <w:p w14:paraId="1C2C0F4C" w14:textId="14EDC868" w:rsidR="00063867" w:rsidRPr="00063867" w:rsidRDefault="00063867" w:rsidP="00063867">
      <w:pPr>
        <w:pStyle w:val="a9"/>
        <w:numPr>
          <w:ilvl w:val="1"/>
          <w:numId w:val="1"/>
        </w:numPr>
        <w:rPr>
          <w:rFonts w:ascii="Times New Roman" w:hAnsi="Times New Roman" w:cs="Times New Roman"/>
          <w:b/>
          <w:bCs/>
        </w:rPr>
      </w:pPr>
      <w:r w:rsidRPr="00063867">
        <w:rPr>
          <w:rFonts w:ascii="Times New Roman" w:hAnsi="Times New Roman" w:cs="Times New Roman"/>
          <w:b/>
          <w:bCs/>
        </w:rPr>
        <w:t>Methodology</w:t>
      </w:r>
    </w:p>
    <w:p w14:paraId="154BF7AD"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Data Construction:</w:t>
      </w:r>
    </w:p>
    <w:p w14:paraId="1E696A16"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 Gold spot, futures, ETF (GLD).</w:t>
      </w:r>
    </w:p>
    <w:p w14:paraId="4D179759"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 xml:space="preserve">- Factor-based commodity indices (FMI </w:t>
      </w:r>
      <w:proofErr w:type="gramStart"/>
      <w:r w:rsidRPr="00063867">
        <w:rPr>
          <w:rFonts w:ascii="Times New Roman" w:hAnsi="Times New Roman" w:cs="Times New Roman" w:hint="eastAsia"/>
        </w:rPr>
        <w:t>factors, or</w:t>
      </w:r>
      <w:proofErr w:type="gramEnd"/>
      <w:r w:rsidRPr="00063867">
        <w:rPr>
          <w:rFonts w:ascii="Times New Roman" w:hAnsi="Times New Roman" w:cs="Times New Roman" w:hint="eastAsia"/>
        </w:rPr>
        <w:t xml:space="preserve"> carry/momentum premia).</w:t>
      </w:r>
    </w:p>
    <w:p w14:paraId="742DCC87" w14:textId="1D160481" w:rsidR="00063867" w:rsidRDefault="00063867" w:rsidP="00063867">
      <w:pPr>
        <w:rPr>
          <w:rFonts w:ascii="Times New Roman" w:hAnsi="Times New Roman" w:cs="Times New Roman"/>
        </w:rPr>
      </w:pPr>
      <w:r w:rsidRPr="00063867">
        <w:rPr>
          <w:rFonts w:ascii="Times New Roman" w:hAnsi="Times New Roman" w:cs="Times New Roman" w:hint="eastAsia"/>
        </w:rPr>
        <w:t>- Equity benchmarks (S&amp;P 500, MSCI World).</w:t>
      </w:r>
    </w:p>
    <w:p w14:paraId="4DBBFE27" w14:textId="77777777" w:rsidR="00063867" w:rsidRDefault="00063867" w:rsidP="00063867">
      <w:pPr>
        <w:rPr>
          <w:rFonts w:ascii="Times New Roman" w:hAnsi="Times New Roman" w:cs="Times New Roman"/>
        </w:rPr>
      </w:pPr>
    </w:p>
    <w:p w14:paraId="039FBC82"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Tests:</w:t>
      </w:r>
    </w:p>
    <w:p w14:paraId="220F893E"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1. Time-series regressions of each asset</w:t>
      </w:r>
      <w:proofErr w:type="gramStart"/>
      <w:r w:rsidRPr="00063867">
        <w:rPr>
          <w:rFonts w:ascii="Times New Roman" w:hAnsi="Times New Roman" w:cs="Times New Roman" w:hint="eastAsia"/>
        </w:rPr>
        <w:t>’</w:t>
      </w:r>
      <w:proofErr w:type="gramEnd"/>
      <w:r w:rsidRPr="00063867">
        <w:rPr>
          <w:rFonts w:ascii="Times New Roman" w:hAnsi="Times New Roman" w:cs="Times New Roman" w:hint="eastAsia"/>
        </w:rPr>
        <w:t>s excess returns on real yields, USD, CPI surprises, VIX.</w:t>
      </w:r>
    </w:p>
    <w:p w14:paraId="4910C3F9" w14:textId="5448F468" w:rsidR="00063867" w:rsidRPr="00063867" w:rsidRDefault="00063867" w:rsidP="00063867">
      <w:pPr>
        <w:rPr>
          <w:rFonts w:ascii="Times New Roman" w:hAnsi="Times New Roman" w:cs="Times New Roman"/>
        </w:rPr>
      </w:pPr>
      <w:r w:rsidRPr="00063867">
        <w:rPr>
          <w:rFonts w:ascii="Times New Roman" w:hAnsi="Times New Roman" w:cs="Times New Roman" w:hint="eastAsia"/>
        </w:rPr>
        <w:t>2. Hedge</w:t>
      </w:r>
      <w:r>
        <w:rPr>
          <w:rFonts w:ascii="Times New Roman" w:hAnsi="Times New Roman" w:cs="Times New Roman" w:hint="eastAsia"/>
        </w:rPr>
        <w:t xml:space="preserve"> </w:t>
      </w:r>
      <w:r w:rsidRPr="00063867">
        <w:rPr>
          <w:rFonts w:ascii="Times New Roman" w:hAnsi="Times New Roman" w:cs="Times New Roman" w:hint="eastAsia"/>
        </w:rPr>
        <w:t>tests: performance in worst decile equity months.</w:t>
      </w:r>
    </w:p>
    <w:p w14:paraId="233B06FE"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3. Tail risk analysis: Value-at-Risk, Expected Shortfall, max drawdowns.</w:t>
      </w:r>
    </w:p>
    <w:p w14:paraId="2A880874" w14:textId="13B0D6CC" w:rsidR="00063867" w:rsidRPr="00063867" w:rsidRDefault="00063867" w:rsidP="00063867">
      <w:pPr>
        <w:rPr>
          <w:rFonts w:ascii="Times New Roman" w:hAnsi="Times New Roman" w:cs="Times New Roman"/>
        </w:rPr>
      </w:pPr>
      <w:r w:rsidRPr="00063867">
        <w:rPr>
          <w:rFonts w:ascii="Times New Roman" w:hAnsi="Times New Roman" w:cs="Times New Roman" w:hint="eastAsia"/>
        </w:rPr>
        <w:t xml:space="preserve">4. Portfolio integration: add gold vs. factor commodities to </w:t>
      </w:r>
      <w:proofErr w:type="gramStart"/>
      <w:r w:rsidRPr="00063867">
        <w:rPr>
          <w:rFonts w:ascii="Times New Roman" w:hAnsi="Times New Roman" w:cs="Times New Roman" w:hint="eastAsia"/>
        </w:rPr>
        <w:t xml:space="preserve">a </w:t>
      </w:r>
      <w:r w:rsidRPr="00063867">
        <w:rPr>
          <w:rFonts w:ascii="Times New Roman" w:hAnsi="Times New Roman" w:cs="Times New Roman"/>
        </w:rPr>
        <w:t>multiple portfolio weights</w:t>
      </w:r>
      <w:proofErr w:type="gramEnd"/>
      <w:r w:rsidRPr="00063867">
        <w:rPr>
          <w:rFonts w:ascii="Times New Roman" w:hAnsi="Times New Roman" w:cs="Times New Roman" w:hint="eastAsia"/>
        </w:rPr>
        <w:t xml:space="preserve"> and compare improvements in Sharpe, Sortino, and drawdown.</w:t>
      </w:r>
    </w:p>
    <w:p w14:paraId="0B6741C8" w14:textId="3FB91D3D" w:rsidR="00063867" w:rsidRDefault="00063867" w:rsidP="00063867">
      <w:pPr>
        <w:rPr>
          <w:rFonts w:ascii="Times New Roman" w:hAnsi="Times New Roman" w:cs="Times New Roman"/>
        </w:rPr>
      </w:pPr>
      <w:r w:rsidRPr="00063867">
        <w:rPr>
          <w:rFonts w:ascii="Times New Roman" w:hAnsi="Times New Roman" w:cs="Times New Roman" w:hint="eastAsia"/>
        </w:rPr>
        <w:t>5. Substitutability test: compare marginal risk reduction from gold vs. commodity factors.</w:t>
      </w:r>
    </w:p>
    <w:p w14:paraId="6BF0EA7E" w14:textId="77777777" w:rsidR="00063867" w:rsidRDefault="00063867" w:rsidP="00063867">
      <w:pPr>
        <w:rPr>
          <w:rFonts w:ascii="Times New Roman" w:hAnsi="Times New Roman" w:cs="Times New Roman"/>
        </w:rPr>
      </w:pPr>
    </w:p>
    <w:p w14:paraId="621CD654" w14:textId="66FBDFA9" w:rsidR="00063867" w:rsidRPr="00063867" w:rsidRDefault="00063867" w:rsidP="00063867">
      <w:pPr>
        <w:pStyle w:val="a9"/>
        <w:numPr>
          <w:ilvl w:val="0"/>
          <w:numId w:val="1"/>
        </w:numPr>
        <w:rPr>
          <w:rFonts w:ascii="Times New Roman" w:hAnsi="Times New Roman" w:cs="Times New Roman"/>
          <w:b/>
          <w:bCs/>
        </w:rPr>
      </w:pPr>
      <w:r w:rsidRPr="00063867">
        <w:rPr>
          <w:rFonts w:ascii="Times New Roman" w:hAnsi="Times New Roman" w:cs="Times New Roman"/>
          <w:b/>
          <w:bCs/>
        </w:rPr>
        <w:t>Sources</w:t>
      </w:r>
    </w:p>
    <w:p w14:paraId="27488AAA" w14:textId="273AC782" w:rsidR="00063867" w:rsidRDefault="00063867" w:rsidP="00063867">
      <w:pPr>
        <w:rPr>
          <w:rFonts w:ascii="Times New Roman" w:hAnsi="Times New Roman" w:cs="Times New Roman"/>
        </w:rPr>
      </w:pPr>
      <w:r w:rsidRPr="00063867">
        <w:rPr>
          <w:rFonts w:ascii="Times New Roman" w:hAnsi="Times New Roman" w:cs="Times New Roman"/>
        </w:rPr>
        <w:t>Primary Data: LBMA, COMEX futures, GLD, FRED (TIPS yields, CPI, USD index), S&amp;P 500, MSCI World, CFTC, and published FMI weights/factor returns.</w:t>
      </w:r>
      <w:r w:rsidRPr="00063867">
        <w:rPr>
          <w:rFonts w:ascii="Times New Roman" w:hAnsi="Times New Roman" w:cs="Times New Roman"/>
        </w:rPr>
        <w:br/>
      </w:r>
    </w:p>
    <w:p w14:paraId="2CE3A168"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References:</w:t>
      </w:r>
    </w:p>
    <w:p w14:paraId="33B3E3DB"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 xml:space="preserve">- Baur &amp; Lucey (2010) </w:t>
      </w:r>
      <w:r w:rsidRPr="00063867">
        <w:rPr>
          <w:rFonts w:ascii="Times New Roman" w:hAnsi="Times New Roman" w:cs="Times New Roman" w:hint="eastAsia"/>
        </w:rPr>
        <w:t>–</w:t>
      </w:r>
      <w:r w:rsidRPr="00063867">
        <w:rPr>
          <w:rFonts w:ascii="Times New Roman" w:hAnsi="Times New Roman" w:cs="Times New Roman" w:hint="eastAsia"/>
        </w:rPr>
        <w:t xml:space="preserve"> Gold as hedge/safe haven.</w:t>
      </w:r>
    </w:p>
    <w:p w14:paraId="17391091"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 xml:space="preserve">- Erb &amp; Harvey (2013) </w:t>
      </w:r>
      <w:r w:rsidRPr="00063867">
        <w:rPr>
          <w:rFonts w:ascii="Times New Roman" w:hAnsi="Times New Roman" w:cs="Times New Roman" w:hint="eastAsia"/>
        </w:rPr>
        <w:t>–</w:t>
      </w:r>
      <w:r w:rsidRPr="00063867">
        <w:rPr>
          <w:rFonts w:ascii="Times New Roman" w:hAnsi="Times New Roman" w:cs="Times New Roman" w:hint="eastAsia"/>
        </w:rPr>
        <w:t xml:space="preserve"> </w:t>
      </w:r>
      <w:r w:rsidRPr="00063867">
        <w:rPr>
          <w:rFonts w:ascii="Times New Roman" w:hAnsi="Times New Roman" w:cs="Times New Roman" w:hint="eastAsia"/>
        </w:rPr>
        <w:t>“</w:t>
      </w:r>
      <w:r w:rsidRPr="00063867">
        <w:rPr>
          <w:rFonts w:ascii="Times New Roman" w:hAnsi="Times New Roman" w:cs="Times New Roman" w:hint="eastAsia"/>
        </w:rPr>
        <w:t>The Golden Dilemma.</w:t>
      </w:r>
      <w:r w:rsidRPr="00063867">
        <w:rPr>
          <w:rFonts w:ascii="Times New Roman" w:hAnsi="Times New Roman" w:cs="Times New Roman" w:hint="eastAsia"/>
        </w:rPr>
        <w:t>”</w:t>
      </w:r>
    </w:p>
    <w:p w14:paraId="033D5383"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 xml:space="preserve">- Broby, McKenzie &amp; </w:t>
      </w:r>
      <w:proofErr w:type="spellStart"/>
      <w:r w:rsidRPr="00063867">
        <w:rPr>
          <w:rFonts w:ascii="Times New Roman" w:hAnsi="Times New Roman" w:cs="Times New Roman" w:hint="eastAsia"/>
        </w:rPr>
        <w:t>Bautheac</w:t>
      </w:r>
      <w:proofErr w:type="spellEnd"/>
      <w:r w:rsidRPr="00063867">
        <w:rPr>
          <w:rFonts w:ascii="Times New Roman" w:hAnsi="Times New Roman" w:cs="Times New Roman" w:hint="eastAsia"/>
        </w:rPr>
        <w:t xml:space="preserve"> (2021) </w:t>
      </w:r>
      <w:r w:rsidRPr="00063867">
        <w:rPr>
          <w:rFonts w:ascii="Times New Roman" w:hAnsi="Times New Roman" w:cs="Times New Roman" w:hint="eastAsia"/>
        </w:rPr>
        <w:t>–</w:t>
      </w:r>
      <w:r w:rsidRPr="00063867">
        <w:rPr>
          <w:rFonts w:ascii="Times New Roman" w:hAnsi="Times New Roman" w:cs="Times New Roman" w:hint="eastAsia"/>
        </w:rPr>
        <w:t xml:space="preserve"> Factor Model Index for Commodities.</w:t>
      </w:r>
    </w:p>
    <w:p w14:paraId="62B96AFB" w14:textId="77777777" w:rsidR="00063867" w:rsidRPr="00063867" w:rsidRDefault="00063867" w:rsidP="00063867">
      <w:pPr>
        <w:rPr>
          <w:rFonts w:ascii="Times New Roman" w:hAnsi="Times New Roman" w:cs="Times New Roman"/>
        </w:rPr>
      </w:pPr>
      <w:r w:rsidRPr="00063867">
        <w:rPr>
          <w:rFonts w:ascii="Times New Roman" w:hAnsi="Times New Roman" w:cs="Times New Roman" w:hint="eastAsia"/>
        </w:rPr>
        <w:t xml:space="preserve">- Boal &amp; Wiederhold (2021) </w:t>
      </w:r>
      <w:r w:rsidRPr="00063867">
        <w:rPr>
          <w:rFonts w:ascii="Times New Roman" w:hAnsi="Times New Roman" w:cs="Times New Roman" w:hint="eastAsia"/>
        </w:rPr>
        <w:t>–</w:t>
      </w:r>
      <w:r w:rsidRPr="00063867">
        <w:rPr>
          <w:rFonts w:ascii="Times New Roman" w:hAnsi="Times New Roman" w:cs="Times New Roman" w:hint="eastAsia"/>
        </w:rPr>
        <w:t xml:space="preserve"> Rethinking Commodities.</w:t>
      </w:r>
    </w:p>
    <w:p w14:paraId="26A17FBA" w14:textId="5A63EEC5" w:rsidR="00063867" w:rsidRDefault="00063867" w:rsidP="00063867">
      <w:pPr>
        <w:rPr>
          <w:rFonts w:ascii="Times New Roman" w:hAnsi="Times New Roman" w:cs="Times New Roman"/>
        </w:rPr>
      </w:pPr>
      <w:r w:rsidRPr="00063867">
        <w:rPr>
          <w:rFonts w:ascii="Times New Roman" w:hAnsi="Times New Roman" w:cs="Times New Roman" w:hint="eastAsia"/>
        </w:rPr>
        <w:t xml:space="preserve">- Bakshi, Gao &amp; Rossi (2019) </w:t>
      </w:r>
      <w:r w:rsidRPr="00063867">
        <w:rPr>
          <w:rFonts w:ascii="Times New Roman" w:hAnsi="Times New Roman" w:cs="Times New Roman" w:hint="eastAsia"/>
        </w:rPr>
        <w:t>–</w:t>
      </w:r>
      <w:r w:rsidRPr="00063867">
        <w:rPr>
          <w:rFonts w:ascii="Times New Roman" w:hAnsi="Times New Roman" w:cs="Times New Roman" w:hint="eastAsia"/>
        </w:rPr>
        <w:t xml:space="preserve"> Sources of risk in commodity returns.</w:t>
      </w:r>
    </w:p>
    <w:p w14:paraId="52C5F73D" w14:textId="77777777" w:rsidR="00063867" w:rsidRPr="00063867" w:rsidRDefault="00063867" w:rsidP="00063867">
      <w:pPr>
        <w:pStyle w:val="a9"/>
        <w:numPr>
          <w:ilvl w:val="0"/>
          <w:numId w:val="1"/>
        </w:numPr>
        <w:rPr>
          <w:rFonts w:ascii="Times New Roman" w:hAnsi="Times New Roman" w:cs="Times New Roman"/>
          <w:b/>
          <w:bCs/>
        </w:rPr>
      </w:pPr>
      <w:r w:rsidRPr="00063867">
        <w:rPr>
          <w:rFonts w:ascii="Times New Roman" w:hAnsi="Times New Roman" w:cs="Times New Roman" w:hint="eastAsia"/>
          <w:b/>
          <w:bCs/>
        </w:rPr>
        <w:lastRenderedPageBreak/>
        <w:t>Each group member</w:t>
      </w:r>
      <w:proofErr w:type="gramStart"/>
      <w:r w:rsidRPr="00063867">
        <w:rPr>
          <w:rFonts w:ascii="Times New Roman" w:hAnsi="Times New Roman" w:cs="Times New Roman" w:hint="eastAsia"/>
          <w:b/>
          <w:bCs/>
        </w:rPr>
        <w:t>’</w:t>
      </w:r>
      <w:proofErr w:type="gramEnd"/>
      <w:r w:rsidRPr="00063867">
        <w:rPr>
          <w:rFonts w:ascii="Times New Roman" w:hAnsi="Times New Roman" w:cs="Times New Roman" w:hint="eastAsia"/>
          <w:b/>
          <w:bCs/>
        </w:rPr>
        <w:t>s proposed contribution</w:t>
      </w:r>
    </w:p>
    <w:p w14:paraId="4487EE01" w14:textId="5443AF9D" w:rsidR="00063867" w:rsidRDefault="00063867" w:rsidP="00063867">
      <w:pPr>
        <w:rPr>
          <w:rFonts w:ascii="Times New Roman" w:hAnsi="Times New Roman" w:cs="Times New Roman"/>
        </w:rPr>
      </w:pPr>
      <w:proofErr w:type="spellStart"/>
      <w:r w:rsidRPr="00063867">
        <w:rPr>
          <w:rFonts w:ascii="Times New Roman" w:hAnsi="Times New Roman" w:cs="Times New Roman"/>
        </w:rPr>
        <w:t>Junkuang</w:t>
      </w:r>
      <w:proofErr w:type="spellEnd"/>
      <w:r w:rsidRPr="00063867">
        <w:rPr>
          <w:rFonts w:ascii="Times New Roman" w:hAnsi="Times New Roman" w:cs="Times New Roman"/>
        </w:rPr>
        <w:t xml:space="preserve"> Lai</w:t>
      </w:r>
      <w:r>
        <w:rPr>
          <w:rFonts w:ascii="Times New Roman" w:hAnsi="Times New Roman" w:cs="Times New Roman" w:hint="eastAsia"/>
        </w:rPr>
        <w:t xml:space="preserve"> </w:t>
      </w:r>
      <w:r w:rsidRPr="00063867">
        <w:rPr>
          <w:rFonts w:ascii="Times New Roman" w:hAnsi="Times New Roman" w:cs="Times New Roman"/>
        </w:rPr>
        <w:t>—</w:t>
      </w:r>
      <w:r>
        <w:rPr>
          <w:rFonts w:ascii="Times New Roman" w:hAnsi="Times New Roman" w:cs="Times New Roman" w:hint="eastAsia"/>
        </w:rPr>
        <w:t xml:space="preserve"> </w:t>
      </w:r>
      <w:r w:rsidRPr="00063867">
        <w:rPr>
          <w:rFonts w:ascii="Times New Roman" w:hAnsi="Times New Roman" w:cs="Times New Roman" w:hint="eastAsia"/>
        </w:rPr>
        <w:t>Responsible for sourcing, cleaning, and organizing all datasets. Tasks include acquiring gold spot, futures, and ETF data; building constant-maturity futures series; gathering macroeconomic variables; and ensuring reproducibility</w:t>
      </w:r>
      <w:r>
        <w:rPr>
          <w:rFonts w:ascii="Times New Roman" w:hAnsi="Times New Roman" w:cs="Times New Roman" w:hint="eastAsia"/>
        </w:rPr>
        <w:t>.</w:t>
      </w:r>
    </w:p>
    <w:p w14:paraId="62A627DE" w14:textId="6BF061FC" w:rsidR="00063867" w:rsidRDefault="00063867" w:rsidP="00063867">
      <w:pPr>
        <w:rPr>
          <w:rFonts w:ascii="Times New Roman" w:hAnsi="Times New Roman" w:cs="Times New Roman"/>
        </w:rPr>
      </w:pPr>
      <w:r>
        <w:rPr>
          <w:rFonts w:ascii="Times New Roman" w:hAnsi="Times New Roman" w:cs="Times New Roman" w:hint="eastAsia"/>
        </w:rPr>
        <w:t xml:space="preserve">Randy Shi </w:t>
      </w:r>
      <w:r w:rsidRPr="00063867">
        <w:rPr>
          <w:rFonts w:ascii="Times New Roman" w:hAnsi="Times New Roman" w:cs="Times New Roman"/>
        </w:rPr>
        <w:t>—</w:t>
      </w:r>
      <w:r>
        <w:rPr>
          <w:rFonts w:ascii="Times New Roman" w:hAnsi="Times New Roman" w:cs="Times New Roman" w:hint="eastAsia"/>
        </w:rPr>
        <w:t xml:space="preserve"> </w:t>
      </w:r>
      <w:r w:rsidRPr="00063867">
        <w:rPr>
          <w:rFonts w:ascii="Times New Roman" w:hAnsi="Times New Roman" w:cs="Times New Roman" w:hint="eastAsia"/>
        </w:rPr>
        <w:t>Responsible for</w:t>
      </w:r>
      <w:r>
        <w:rPr>
          <w:rFonts w:ascii="Times New Roman" w:hAnsi="Times New Roman" w:cs="Times New Roman" w:hint="eastAsia"/>
        </w:rPr>
        <w:t xml:space="preserve"> </w:t>
      </w:r>
      <w:r w:rsidRPr="00063867">
        <w:rPr>
          <w:rFonts w:ascii="Times New Roman" w:hAnsi="Times New Roman" w:cs="Times New Roman" w:hint="eastAsia"/>
        </w:rPr>
        <w:t>analysis and communication. Tasks include conducting regressions, event studies, and portfolio tests; interpreting results in the context of hedging and diversification; drafting the written report with figures and tables.</w:t>
      </w:r>
    </w:p>
    <w:p w14:paraId="1BEE3730" w14:textId="77777777" w:rsidR="00063867" w:rsidRDefault="00063867" w:rsidP="00063867">
      <w:pPr>
        <w:rPr>
          <w:rFonts w:ascii="Times New Roman" w:hAnsi="Times New Roman" w:cs="Times New Roman"/>
        </w:rPr>
      </w:pPr>
    </w:p>
    <w:p w14:paraId="05665281" w14:textId="41931E77" w:rsidR="00401439" w:rsidRPr="00401439" w:rsidRDefault="00401439" w:rsidP="00401439">
      <w:pPr>
        <w:pStyle w:val="a9"/>
        <w:numPr>
          <w:ilvl w:val="0"/>
          <w:numId w:val="1"/>
        </w:numPr>
        <w:rPr>
          <w:rFonts w:ascii="Times New Roman" w:hAnsi="Times New Roman" w:cs="Times New Roman"/>
          <w:b/>
          <w:bCs/>
        </w:rPr>
      </w:pPr>
      <w:r w:rsidRPr="00401439">
        <w:rPr>
          <w:rFonts w:ascii="Times New Roman" w:hAnsi="Times New Roman" w:cs="Times New Roman" w:hint="eastAsia"/>
          <w:b/>
          <w:bCs/>
        </w:rPr>
        <w:t>Planned Figures &amp; Tables</w:t>
      </w:r>
    </w:p>
    <w:p w14:paraId="692DF1A8" w14:textId="77777777"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Fig 1: Comparative return decomposition (gold vs. factor commodities vs. equities).</w:t>
      </w:r>
    </w:p>
    <w:p w14:paraId="229CAE66" w14:textId="77777777"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Fig 2: Rolling betas to macro drivers (real yields, USD, CPI).</w:t>
      </w:r>
    </w:p>
    <w:p w14:paraId="6FDB35E6" w14:textId="77777777"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Fig 3: Hedge effectiveness in equity drawdowns.</w:t>
      </w:r>
    </w:p>
    <w:p w14:paraId="47AFB742" w14:textId="77777777"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Fig 4: Portfolio equity curves (60/40 baseline vs. +gold vs. +factor commodities).</w:t>
      </w:r>
    </w:p>
    <w:p w14:paraId="3B163ECF" w14:textId="7B3815D8"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Table A: Performance stats.</w:t>
      </w:r>
    </w:p>
    <w:p w14:paraId="00E88D6B" w14:textId="5F747140" w:rsidR="00401439" w:rsidRDefault="00401439" w:rsidP="00401439">
      <w:pPr>
        <w:rPr>
          <w:rFonts w:ascii="Times New Roman" w:hAnsi="Times New Roman" w:cs="Times New Roman"/>
        </w:rPr>
      </w:pPr>
      <w:r w:rsidRPr="00401439">
        <w:rPr>
          <w:rFonts w:ascii="Times New Roman" w:hAnsi="Times New Roman" w:cs="Times New Roman" w:hint="eastAsia"/>
        </w:rPr>
        <w:t>Table B: Hedge ratios, tail-risk measures, subperiod robustness.</w:t>
      </w:r>
    </w:p>
    <w:p w14:paraId="06398818" w14:textId="77777777" w:rsidR="00401439" w:rsidRDefault="00401439" w:rsidP="00401439">
      <w:pPr>
        <w:rPr>
          <w:rFonts w:ascii="Times New Roman" w:hAnsi="Times New Roman" w:cs="Times New Roman"/>
        </w:rPr>
      </w:pPr>
    </w:p>
    <w:p w14:paraId="305D0E04" w14:textId="71E01417" w:rsidR="00401439" w:rsidRPr="00401439" w:rsidRDefault="00401439" w:rsidP="00401439">
      <w:pPr>
        <w:pStyle w:val="a9"/>
        <w:numPr>
          <w:ilvl w:val="0"/>
          <w:numId w:val="1"/>
        </w:numPr>
        <w:rPr>
          <w:rFonts w:ascii="Times New Roman" w:hAnsi="Times New Roman" w:cs="Times New Roman"/>
          <w:b/>
          <w:bCs/>
        </w:rPr>
      </w:pPr>
      <w:r w:rsidRPr="00401439">
        <w:rPr>
          <w:rFonts w:ascii="Times New Roman" w:hAnsi="Times New Roman" w:cs="Times New Roman" w:hint="eastAsia"/>
          <w:b/>
          <w:bCs/>
        </w:rPr>
        <w:t>Anticipated Conclusion</w:t>
      </w:r>
    </w:p>
    <w:p w14:paraId="201DF2C7" w14:textId="09685C9B" w:rsidR="00401439" w:rsidRDefault="00401439" w:rsidP="00401439">
      <w:pPr>
        <w:rPr>
          <w:rFonts w:ascii="Times New Roman" w:hAnsi="Times New Roman" w:cs="Times New Roman"/>
        </w:rPr>
      </w:pPr>
      <w:r w:rsidRPr="00401439">
        <w:rPr>
          <w:rFonts w:ascii="Times New Roman" w:hAnsi="Times New Roman" w:cs="Times New Roman" w:hint="eastAsia"/>
        </w:rPr>
        <w:t xml:space="preserve">Gold remains distinct as a crisis hedge, especially in equity stress, while factor-based commodity portfolios offer systematic risk </w:t>
      </w:r>
      <w:proofErr w:type="gramStart"/>
      <w:r w:rsidRPr="00401439">
        <w:rPr>
          <w:rFonts w:ascii="Times New Roman" w:hAnsi="Times New Roman" w:cs="Times New Roman" w:hint="eastAsia"/>
        </w:rPr>
        <w:t>premia</w:t>
      </w:r>
      <w:proofErr w:type="gramEnd"/>
      <w:r w:rsidRPr="00401439">
        <w:rPr>
          <w:rFonts w:ascii="Times New Roman" w:hAnsi="Times New Roman" w:cs="Times New Roman" w:hint="eastAsia"/>
        </w:rPr>
        <w:t xml:space="preserve"> and diversification benefits. The two are complementary: gold is best for tail-risk management, while factor commodities improve long-term Sharpe ratios.</w:t>
      </w:r>
    </w:p>
    <w:p w14:paraId="5DDAF5DB" w14:textId="77777777" w:rsidR="00401439" w:rsidRDefault="00401439" w:rsidP="00401439">
      <w:pPr>
        <w:rPr>
          <w:rFonts w:ascii="Times New Roman" w:hAnsi="Times New Roman" w:cs="Times New Roman"/>
        </w:rPr>
      </w:pPr>
    </w:p>
    <w:p w14:paraId="6C86CED4" w14:textId="5B8299C3"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Structure</w:t>
      </w:r>
      <w:r>
        <w:rPr>
          <w:rFonts w:ascii="Times New Roman" w:hAnsi="Times New Roman" w:cs="Times New Roman" w:hint="eastAsia"/>
        </w:rPr>
        <w:t xml:space="preserve">: </w:t>
      </w:r>
      <w:r w:rsidRPr="00401439">
        <w:rPr>
          <w:rFonts w:ascii="Times New Roman" w:hAnsi="Times New Roman" w:cs="Times New Roman" w:hint="eastAsia"/>
        </w:rPr>
        <w:t xml:space="preserve">Intro </w:t>
      </w:r>
      <w:r w:rsidRPr="00401439">
        <w:rPr>
          <w:rFonts w:ascii="Times New Roman" w:hAnsi="Times New Roman" w:cs="Times New Roman" w:hint="eastAsia"/>
        </w:rPr>
        <w:t>→</w:t>
      </w:r>
      <w:r w:rsidRPr="00401439">
        <w:rPr>
          <w:rFonts w:ascii="Times New Roman" w:hAnsi="Times New Roman" w:cs="Times New Roman" w:hint="eastAsia"/>
        </w:rPr>
        <w:t xml:space="preserve"> Mechanics &amp; return decomposition </w:t>
      </w:r>
      <w:r w:rsidRPr="00401439">
        <w:rPr>
          <w:rFonts w:ascii="Times New Roman" w:hAnsi="Times New Roman" w:cs="Times New Roman" w:hint="eastAsia"/>
        </w:rPr>
        <w:t>→</w:t>
      </w:r>
      <w:r w:rsidRPr="00401439">
        <w:rPr>
          <w:rFonts w:ascii="Times New Roman" w:hAnsi="Times New Roman" w:cs="Times New Roman" w:hint="eastAsia"/>
        </w:rPr>
        <w:t xml:space="preserve"> Macro drivers </w:t>
      </w:r>
      <w:r w:rsidRPr="00401439">
        <w:rPr>
          <w:rFonts w:ascii="Times New Roman" w:hAnsi="Times New Roman" w:cs="Times New Roman" w:hint="eastAsia"/>
        </w:rPr>
        <w:t>→</w:t>
      </w:r>
      <w:r w:rsidRPr="00401439">
        <w:rPr>
          <w:rFonts w:ascii="Times New Roman" w:hAnsi="Times New Roman" w:cs="Times New Roman" w:hint="eastAsia"/>
        </w:rPr>
        <w:t xml:space="preserve"> Portfolio</w:t>
      </w:r>
    </w:p>
    <w:p w14:paraId="0AB98CFC" w14:textId="2E19DA1D" w:rsidR="00401439" w:rsidRPr="00401439" w:rsidRDefault="00401439" w:rsidP="00401439">
      <w:pPr>
        <w:rPr>
          <w:rFonts w:ascii="Times New Roman" w:hAnsi="Times New Roman" w:cs="Times New Roman" w:hint="eastAsia"/>
        </w:rPr>
      </w:pPr>
      <w:r w:rsidRPr="00401439">
        <w:rPr>
          <w:rFonts w:ascii="Times New Roman" w:hAnsi="Times New Roman" w:cs="Times New Roman" w:hint="eastAsia"/>
        </w:rPr>
        <w:t>rol</w:t>
      </w:r>
      <w:r>
        <w:rPr>
          <w:rFonts w:ascii="Times New Roman" w:hAnsi="Times New Roman" w:cs="Times New Roman" w:hint="eastAsia"/>
        </w:rPr>
        <w:t>e</w:t>
      </w:r>
      <w:r w:rsidRPr="00401439">
        <w:rPr>
          <w:rFonts w:ascii="Times New Roman" w:hAnsi="Times New Roman" w:cs="Times New Roman" w:hint="eastAsia"/>
        </w:rPr>
        <w:t xml:space="preserve"> </w:t>
      </w:r>
      <w:r w:rsidRPr="00401439">
        <w:rPr>
          <w:rFonts w:ascii="Times New Roman" w:hAnsi="Times New Roman" w:cs="Times New Roman" w:hint="eastAsia"/>
        </w:rPr>
        <w:t>→</w:t>
      </w:r>
      <w:r w:rsidRPr="00401439">
        <w:rPr>
          <w:rFonts w:ascii="Times New Roman" w:hAnsi="Times New Roman" w:cs="Times New Roman" w:hint="eastAsia"/>
        </w:rPr>
        <w:t xml:space="preserve"> Strategies &amp; risk management </w:t>
      </w:r>
      <w:r w:rsidRPr="00401439">
        <w:rPr>
          <w:rFonts w:ascii="Times New Roman" w:hAnsi="Times New Roman" w:cs="Times New Roman" w:hint="eastAsia"/>
        </w:rPr>
        <w:t>→</w:t>
      </w:r>
      <w:r w:rsidRPr="00401439">
        <w:rPr>
          <w:rFonts w:ascii="Times New Roman" w:hAnsi="Times New Roman" w:cs="Times New Roman" w:hint="eastAsia"/>
        </w:rPr>
        <w:t xml:space="preserve"> Results </w:t>
      </w:r>
      <w:r w:rsidRPr="00401439">
        <w:rPr>
          <w:rFonts w:ascii="Times New Roman" w:hAnsi="Times New Roman" w:cs="Times New Roman" w:hint="eastAsia"/>
        </w:rPr>
        <w:t>→</w:t>
      </w:r>
      <w:r w:rsidRPr="00401439">
        <w:rPr>
          <w:rFonts w:ascii="Times New Roman" w:hAnsi="Times New Roman" w:cs="Times New Roman" w:hint="eastAsia"/>
        </w:rPr>
        <w:t xml:space="preserve"> Limitations </w:t>
      </w:r>
      <w:r w:rsidRPr="00401439">
        <w:rPr>
          <w:rFonts w:ascii="Times New Roman" w:hAnsi="Times New Roman" w:cs="Times New Roman" w:hint="eastAsia"/>
        </w:rPr>
        <w:t>→</w:t>
      </w:r>
    </w:p>
    <w:p w14:paraId="6744DB2E" w14:textId="0B625DAA" w:rsidR="00401439" w:rsidRDefault="00401439" w:rsidP="00401439">
      <w:pPr>
        <w:rPr>
          <w:rFonts w:ascii="Times New Roman" w:hAnsi="Times New Roman" w:cs="Times New Roman"/>
        </w:rPr>
      </w:pPr>
      <w:r w:rsidRPr="00401439">
        <w:rPr>
          <w:rFonts w:ascii="Times New Roman" w:hAnsi="Times New Roman" w:cs="Times New Roman" w:hint="eastAsia"/>
        </w:rPr>
        <w:t>Conclusion &amp; implications.</w:t>
      </w:r>
    </w:p>
    <w:p w14:paraId="6CBC8045" w14:textId="77777777" w:rsidR="00401439" w:rsidRPr="00401439" w:rsidRDefault="00401439" w:rsidP="00401439">
      <w:pPr>
        <w:rPr>
          <w:rFonts w:ascii="Times New Roman" w:hAnsi="Times New Roman" w:cs="Times New Roman" w:hint="eastAsia"/>
        </w:rPr>
      </w:pPr>
    </w:p>
    <w:sectPr w:rsidR="00401439" w:rsidRPr="004014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1CC7" w14:textId="77777777" w:rsidR="002752D9" w:rsidRDefault="002752D9" w:rsidP="00401439">
      <w:pPr>
        <w:spacing w:after="0" w:line="240" w:lineRule="auto"/>
        <w:rPr>
          <w:rFonts w:hint="eastAsia"/>
        </w:rPr>
      </w:pPr>
      <w:r>
        <w:separator/>
      </w:r>
    </w:p>
  </w:endnote>
  <w:endnote w:type="continuationSeparator" w:id="0">
    <w:p w14:paraId="25A7DD42" w14:textId="77777777" w:rsidR="002752D9" w:rsidRDefault="002752D9" w:rsidP="004014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810A" w14:textId="77777777" w:rsidR="002752D9" w:rsidRDefault="002752D9" w:rsidP="00401439">
      <w:pPr>
        <w:spacing w:after="0" w:line="240" w:lineRule="auto"/>
        <w:rPr>
          <w:rFonts w:hint="eastAsia"/>
        </w:rPr>
      </w:pPr>
      <w:r>
        <w:separator/>
      </w:r>
    </w:p>
  </w:footnote>
  <w:footnote w:type="continuationSeparator" w:id="0">
    <w:p w14:paraId="47D1893D" w14:textId="77777777" w:rsidR="002752D9" w:rsidRDefault="002752D9" w:rsidP="004014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55653"/>
    <w:multiLevelType w:val="multilevel"/>
    <w:tmpl w:val="B0624F9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68913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A7"/>
    <w:rsid w:val="00063867"/>
    <w:rsid w:val="000A47E9"/>
    <w:rsid w:val="002752D9"/>
    <w:rsid w:val="00401439"/>
    <w:rsid w:val="00495BA7"/>
    <w:rsid w:val="00557250"/>
    <w:rsid w:val="007E6AF6"/>
    <w:rsid w:val="00AF7976"/>
    <w:rsid w:val="00F20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A18FF"/>
  <w15:chartTrackingRefBased/>
  <w15:docId w15:val="{697CA0BB-11E7-4BB1-B597-4B6BF47C4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5B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5B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5B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5B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5B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5B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5B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5B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5B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5B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5B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5B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5BA7"/>
    <w:rPr>
      <w:rFonts w:cstheme="majorBidi"/>
      <w:color w:val="0F4761" w:themeColor="accent1" w:themeShade="BF"/>
      <w:sz w:val="28"/>
      <w:szCs w:val="28"/>
    </w:rPr>
  </w:style>
  <w:style w:type="character" w:customStyle="1" w:styleId="50">
    <w:name w:val="标题 5 字符"/>
    <w:basedOn w:val="a0"/>
    <w:link w:val="5"/>
    <w:uiPriority w:val="9"/>
    <w:semiHidden/>
    <w:rsid w:val="00495BA7"/>
    <w:rPr>
      <w:rFonts w:cstheme="majorBidi"/>
      <w:color w:val="0F4761" w:themeColor="accent1" w:themeShade="BF"/>
      <w:sz w:val="24"/>
    </w:rPr>
  </w:style>
  <w:style w:type="character" w:customStyle="1" w:styleId="60">
    <w:name w:val="标题 6 字符"/>
    <w:basedOn w:val="a0"/>
    <w:link w:val="6"/>
    <w:uiPriority w:val="9"/>
    <w:semiHidden/>
    <w:rsid w:val="00495BA7"/>
    <w:rPr>
      <w:rFonts w:cstheme="majorBidi"/>
      <w:b/>
      <w:bCs/>
      <w:color w:val="0F4761" w:themeColor="accent1" w:themeShade="BF"/>
    </w:rPr>
  </w:style>
  <w:style w:type="character" w:customStyle="1" w:styleId="70">
    <w:name w:val="标题 7 字符"/>
    <w:basedOn w:val="a0"/>
    <w:link w:val="7"/>
    <w:uiPriority w:val="9"/>
    <w:semiHidden/>
    <w:rsid w:val="00495BA7"/>
    <w:rPr>
      <w:rFonts w:cstheme="majorBidi"/>
      <w:b/>
      <w:bCs/>
      <w:color w:val="595959" w:themeColor="text1" w:themeTint="A6"/>
    </w:rPr>
  </w:style>
  <w:style w:type="character" w:customStyle="1" w:styleId="80">
    <w:name w:val="标题 8 字符"/>
    <w:basedOn w:val="a0"/>
    <w:link w:val="8"/>
    <w:uiPriority w:val="9"/>
    <w:semiHidden/>
    <w:rsid w:val="00495BA7"/>
    <w:rPr>
      <w:rFonts w:cstheme="majorBidi"/>
      <w:color w:val="595959" w:themeColor="text1" w:themeTint="A6"/>
    </w:rPr>
  </w:style>
  <w:style w:type="character" w:customStyle="1" w:styleId="90">
    <w:name w:val="标题 9 字符"/>
    <w:basedOn w:val="a0"/>
    <w:link w:val="9"/>
    <w:uiPriority w:val="9"/>
    <w:semiHidden/>
    <w:rsid w:val="00495BA7"/>
    <w:rPr>
      <w:rFonts w:eastAsiaTheme="majorEastAsia" w:cstheme="majorBidi"/>
      <w:color w:val="595959" w:themeColor="text1" w:themeTint="A6"/>
    </w:rPr>
  </w:style>
  <w:style w:type="paragraph" w:styleId="a3">
    <w:name w:val="Title"/>
    <w:basedOn w:val="a"/>
    <w:next w:val="a"/>
    <w:link w:val="a4"/>
    <w:uiPriority w:val="10"/>
    <w:qFormat/>
    <w:rsid w:val="00495B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5B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B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5B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5BA7"/>
    <w:pPr>
      <w:spacing w:before="160"/>
      <w:jc w:val="center"/>
    </w:pPr>
    <w:rPr>
      <w:i/>
      <w:iCs/>
      <w:color w:val="404040" w:themeColor="text1" w:themeTint="BF"/>
    </w:rPr>
  </w:style>
  <w:style w:type="character" w:customStyle="1" w:styleId="a8">
    <w:name w:val="引用 字符"/>
    <w:basedOn w:val="a0"/>
    <w:link w:val="a7"/>
    <w:uiPriority w:val="29"/>
    <w:rsid w:val="00495BA7"/>
    <w:rPr>
      <w:i/>
      <w:iCs/>
      <w:color w:val="404040" w:themeColor="text1" w:themeTint="BF"/>
    </w:rPr>
  </w:style>
  <w:style w:type="paragraph" w:styleId="a9">
    <w:name w:val="List Paragraph"/>
    <w:basedOn w:val="a"/>
    <w:uiPriority w:val="34"/>
    <w:qFormat/>
    <w:rsid w:val="00495BA7"/>
    <w:pPr>
      <w:ind w:left="720"/>
      <w:contextualSpacing/>
    </w:pPr>
  </w:style>
  <w:style w:type="character" w:styleId="aa">
    <w:name w:val="Intense Emphasis"/>
    <w:basedOn w:val="a0"/>
    <w:uiPriority w:val="21"/>
    <w:qFormat/>
    <w:rsid w:val="00495BA7"/>
    <w:rPr>
      <w:i/>
      <w:iCs/>
      <w:color w:val="0F4761" w:themeColor="accent1" w:themeShade="BF"/>
    </w:rPr>
  </w:style>
  <w:style w:type="paragraph" w:styleId="ab">
    <w:name w:val="Intense Quote"/>
    <w:basedOn w:val="a"/>
    <w:next w:val="a"/>
    <w:link w:val="ac"/>
    <w:uiPriority w:val="30"/>
    <w:qFormat/>
    <w:rsid w:val="00495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5BA7"/>
    <w:rPr>
      <w:i/>
      <w:iCs/>
      <w:color w:val="0F4761" w:themeColor="accent1" w:themeShade="BF"/>
    </w:rPr>
  </w:style>
  <w:style w:type="character" w:styleId="ad">
    <w:name w:val="Intense Reference"/>
    <w:basedOn w:val="a0"/>
    <w:uiPriority w:val="32"/>
    <w:qFormat/>
    <w:rsid w:val="00495BA7"/>
    <w:rPr>
      <w:b/>
      <w:bCs/>
      <w:smallCaps/>
      <w:color w:val="0F4761" w:themeColor="accent1" w:themeShade="BF"/>
      <w:spacing w:val="5"/>
    </w:rPr>
  </w:style>
  <w:style w:type="paragraph" w:styleId="ae">
    <w:name w:val="header"/>
    <w:basedOn w:val="a"/>
    <w:link w:val="af"/>
    <w:uiPriority w:val="99"/>
    <w:unhideWhenUsed/>
    <w:rsid w:val="0040143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01439"/>
    <w:rPr>
      <w:sz w:val="18"/>
      <w:szCs w:val="18"/>
    </w:rPr>
  </w:style>
  <w:style w:type="paragraph" w:styleId="af0">
    <w:name w:val="footer"/>
    <w:basedOn w:val="a"/>
    <w:link w:val="af1"/>
    <w:uiPriority w:val="99"/>
    <w:unhideWhenUsed/>
    <w:rsid w:val="0040143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014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Shi</dc:creator>
  <cp:keywords/>
  <dc:description/>
  <cp:lastModifiedBy>Randy Shi</cp:lastModifiedBy>
  <cp:revision>3</cp:revision>
  <dcterms:created xsi:type="dcterms:W3CDTF">2025-10-09T21:26:00Z</dcterms:created>
  <dcterms:modified xsi:type="dcterms:W3CDTF">2025-10-09T22:21:00Z</dcterms:modified>
</cp:coreProperties>
</file>