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764" w:rsidRDefault="00A86B36" w:rsidP="00113290">
      <w:pPr>
        <w:pStyle w:val="Title"/>
      </w:pPr>
      <w:r w:rsidRPr="00A86B36">
        <w:t>Analysis results for the first day's data</w:t>
      </w:r>
    </w:p>
    <w:p w:rsidR="00A86B36" w:rsidRDefault="00A86B36"/>
    <w:p w:rsidR="00A86B36" w:rsidRDefault="00113290">
      <w:pPr>
        <w:rPr>
          <w:lang w:val="en-US"/>
        </w:rPr>
      </w:pPr>
      <w:r>
        <w:rPr>
          <w:rFonts w:hint="eastAsia"/>
        </w:rPr>
        <w:t>The</w:t>
      </w:r>
      <w:r>
        <w:t xml:space="preserve"> </w:t>
      </w:r>
      <w:r>
        <w:rPr>
          <w:lang w:val="en-US"/>
        </w:rPr>
        <w:t xml:space="preserve">first of the twelve days’ data was converted into a network and processed with </w:t>
      </w:r>
      <w:proofErr w:type="spellStart"/>
      <w:r>
        <w:rPr>
          <w:lang w:val="en-US"/>
        </w:rPr>
        <w:t>networkX</w:t>
      </w:r>
      <w:proofErr w:type="spellEnd"/>
      <w:r>
        <w:rPr>
          <w:lang w:val="en-US"/>
        </w:rPr>
        <w:t xml:space="preserve">. The results were automatically generated and written to an Excel file. The Python code is in the </w:t>
      </w:r>
      <w:proofErr w:type="spellStart"/>
      <w:r>
        <w:rPr>
          <w:lang w:val="en-US"/>
        </w:rPr>
        <w:t>Jupyter</w:t>
      </w:r>
      <w:proofErr w:type="spellEnd"/>
      <w:r>
        <w:rPr>
          <w:lang w:val="en-US"/>
        </w:rPr>
        <w:t xml:space="preserve"> Notebook file.</w:t>
      </w:r>
    </w:p>
    <w:p w:rsidR="00113290" w:rsidRDefault="00113290">
      <w:pPr>
        <w:rPr>
          <w:lang w:val="en-US"/>
        </w:rPr>
      </w:pPr>
    </w:p>
    <w:p w:rsidR="00113290" w:rsidRDefault="00113290" w:rsidP="00113290">
      <w:pPr>
        <w:pStyle w:val="Heading1"/>
        <w:rPr>
          <w:lang w:val="en-US"/>
        </w:rPr>
      </w:pPr>
      <w:r>
        <w:rPr>
          <w:lang w:val="en-US"/>
        </w:rPr>
        <w:t>Overall</w:t>
      </w:r>
    </w:p>
    <w:p w:rsidR="00113290" w:rsidRDefault="00113290" w:rsidP="003C409A">
      <w:pPr>
        <w:jc w:val="both"/>
        <w:rPr>
          <w:lang w:val="en-US"/>
        </w:rPr>
      </w:pPr>
      <w:r>
        <w:rPr>
          <w:lang w:val="en-US"/>
        </w:rPr>
        <w:t>The overall properties of the network were shown in the firs sheet of the Excel file, which contains the table shown below.</w:t>
      </w:r>
    </w:p>
    <w:tbl>
      <w:tblPr>
        <w:tblW w:w="9257" w:type="dxa"/>
        <w:tblInd w:w="-10" w:type="dxa"/>
        <w:tblLook w:val="04A0" w:firstRow="1" w:lastRow="0" w:firstColumn="1" w:lastColumn="0" w:noHBand="0" w:noVBand="1"/>
      </w:tblPr>
      <w:tblGrid>
        <w:gridCol w:w="1387"/>
        <w:gridCol w:w="1073"/>
        <w:gridCol w:w="1127"/>
        <w:gridCol w:w="1541"/>
        <w:gridCol w:w="1326"/>
        <w:gridCol w:w="1489"/>
        <w:gridCol w:w="684"/>
        <w:gridCol w:w="630"/>
      </w:tblGrid>
      <w:tr w:rsidR="00113290" w:rsidRPr="00113290" w:rsidTr="003C409A">
        <w:trPr>
          <w:trHeight w:val="315"/>
        </w:trPr>
        <w:tc>
          <w:tcPr>
            <w:tcW w:w="138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b/>
                <w:bCs/>
                <w:color w:val="000000"/>
              </w:rPr>
            </w:pPr>
            <w:r w:rsidRPr="00113290">
              <w:rPr>
                <w:rFonts w:ascii="Calibri" w:eastAsia="Times New Roman" w:hAnsi="Calibri" w:cs="Calibri"/>
                <w:b/>
                <w:bCs/>
                <w:color w:val="000000"/>
              </w:rPr>
              <w:t>Average Length</w:t>
            </w:r>
          </w:p>
        </w:tc>
        <w:tc>
          <w:tcPr>
            <w:tcW w:w="1073" w:type="dxa"/>
            <w:tcBorders>
              <w:top w:val="single" w:sz="8" w:space="0" w:color="auto"/>
              <w:left w:val="nil"/>
              <w:bottom w:val="single" w:sz="8"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b/>
                <w:bCs/>
                <w:color w:val="000000"/>
              </w:rPr>
            </w:pPr>
            <w:r w:rsidRPr="00113290">
              <w:rPr>
                <w:rFonts w:ascii="Calibri" w:eastAsia="Times New Roman" w:hAnsi="Calibri" w:cs="Calibri"/>
                <w:b/>
                <w:bCs/>
                <w:color w:val="000000"/>
              </w:rPr>
              <w:t>Diameter</w:t>
            </w:r>
          </w:p>
        </w:tc>
        <w:tc>
          <w:tcPr>
            <w:tcW w:w="1127" w:type="dxa"/>
            <w:tcBorders>
              <w:top w:val="single" w:sz="8" w:space="0" w:color="auto"/>
              <w:left w:val="nil"/>
              <w:bottom w:val="single" w:sz="8"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b/>
                <w:bCs/>
                <w:color w:val="000000"/>
              </w:rPr>
            </w:pPr>
            <w:r w:rsidRPr="00113290">
              <w:rPr>
                <w:rFonts w:ascii="Calibri" w:eastAsia="Times New Roman" w:hAnsi="Calibri" w:cs="Calibri"/>
                <w:b/>
                <w:bCs/>
                <w:color w:val="000000"/>
              </w:rPr>
              <w:t>Radius</w:t>
            </w:r>
          </w:p>
        </w:tc>
        <w:tc>
          <w:tcPr>
            <w:tcW w:w="1541" w:type="dxa"/>
            <w:tcBorders>
              <w:top w:val="single" w:sz="8" w:space="0" w:color="auto"/>
              <w:left w:val="nil"/>
              <w:bottom w:val="single" w:sz="8"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b/>
                <w:bCs/>
                <w:color w:val="000000"/>
              </w:rPr>
            </w:pPr>
            <w:proofErr w:type="spellStart"/>
            <w:r w:rsidRPr="00113290">
              <w:rPr>
                <w:rFonts w:ascii="Calibri" w:eastAsia="Times New Roman" w:hAnsi="Calibri" w:cs="Calibri"/>
                <w:b/>
                <w:bCs/>
                <w:color w:val="000000"/>
              </w:rPr>
              <w:t>NumNodesRm</w:t>
            </w:r>
            <w:proofErr w:type="spellEnd"/>
          </w:p>
        </w:tc>
        <w:tc>
          <w:tcPr>
            <w:tcW w:w="1326" w:type="dxa"/>
            <w:tcBorders>
              <w:top w:val="single" w:sz="8" w:space="0" w:color="auto"/>
              <w:left w:val="nil"/>
              <w:bottom w:val="single" w:sz="8"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b/>
                <w:bCs/>
                <w:color w:val="000000"/>
              </w:rPr>
            </w:pPr>
            <w:proofErr w:type="spellStart"/>
            <w:r w:rsidRPr="00113290">
              <w:rPr>
                <w:rFonts w:ascii="Calibri" w:eastAsia="Times New Roman" w:hAnsi="Calibri" w:cs="Calibri"/>
                <w:b/>
                <w:bCs/>
                <w:color w:val="000000"/>
              </w:rPr>
              <w:t>NodesToRm</w:t>
            </w:r>
            <w:proofErr w:type="spellEnd"/>
          </w:p>
        </w:tc>
        <w:tc>
          <w:tcPr>
            <w:tcW w:w="1489" w:type="dxa"/>
            <w:tcBorders>
              <w:top w:val="single" w:sz="8" w:space="0" w:color="auto"/>
              <w:left w:val="nil"/>
              <w:bottom w:val="single" w:sz="8"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b/>
                <w:bCs/>
                <w:color w:val="000000"/>
              </w:rPr>
            </w:pPr>
            <w:proofErr w:type="spellStart"/>
            <w:r w:rsidRPr="00113290">
              <w:rPr>
                <w:rFonts w:ascii="Calibri" w:eastAsia="Times New Roman" w:hAnsi="Calibri" w:cs="Calibri"/>
                <w:b/>
                <w:bCs/>
                <w:color w:val="000000"/>
              </w:rPr>
              <w:t>NumEdgesRm</w:t>
            </w:r>
            <w:proofErr w:type="spellEnd"/>
          </w:p>
        </w:tc>
        <w:tc>
          <w:tcPr>
            <w:tcW w:w="1314"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b/>
                <w:bCs/>
                <w:color w:val="000000"/>
              </w:rPr>
            </w:pPr>
            <w:proofErr w:type="spellStart"/>
            <w:r w:rsidRPr="00113290">
              <w:rPr>
                <w:rFonts w:ascii="Calibri" w:eastAsia="Times New Roman" w:hAnsi="Calibri" w:cs="Calibri"/>
                <w:b/>
                <w:bCs/>
                <w:color w:val="000000"/>
              </w:rPr>
              <w:t>EdgesToRm</w:t>
            </w:r>
            <w:proofErr w:type="spellEnd"/>
          </w:p>
        </w:tc>
      </w:tr>
      <w:tr w:rsidR="00113290" w:rsidRPr="00113290" w:rsidTr="003C409A">
        <w:trPr>
          <w:trHeight w:val="300"/>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1.403076923</w:t>
            </w:r>
          </w:p>
        </w:tc>
        <w:tc>
          <w:tcPr>
            <w:tcW w:w="1073"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2</w:t>
            </w:r>
          </w:p>
        </w:tc>
        <w:tc>
          <w:tcPr>
            <w:tcW w:w="1127"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2</w:t>
            </w:r>
          </w:p>
        </w:tc>
        <w:tc>
          <w:tcPr>
            <w:tcW w:w="1541"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8</w:t>
            </w:r>
          </w:p>
        </w:tc>
        <w:tc>
          <w:tcPr>
            <w:tcW w:w="1326"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H</w:t>
            </w:r>
          </w:p>
        </w:tc>
        <w:tc>
          <w:tcPr>
            <w:tcW w:w="1489"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10</w:t>
            </w:r>
          </w:p>
        </w:tc>
        <w:tc>
          <w:tcPr>
            <w:tcW w:w="684"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N</w:t>
            </w:r>
          </w:p>
        </w:tc>
        <w:tc>
          <w:tcPr>
            <w:tcW w:w="630"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V</w:t>
            </w:r>
          </w:p>
        </w:tc>
      </w:tr>
      <w:tr w:rsidR="00113290" w:rsidRPr="00113290" w:rsidTr="003C409A">
        <w:trPr>
          <w:trHeight w:val="300"/>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073"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127"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541"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326"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Q</w:t>
            </w:r>
          </w:p>
        </w:tc>
        <w:tc>
          <w:tcPr>
            <w:tcW w:w="1489"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684"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W</w:t>
            </w:r>
          </w:p>
        </w:tc>
        <w:tc>
          <w:tcPr>
            <w:tcW w:w="630"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V</w:t>
            </w:r>
          </w:p>
        </w:tc>
      </w:tr>
      <w:tr w:rsidR="00113290" w:rsidRPr="00113290" w:rsidTr="003C409A">
        <w:trPr>
          <w:trHeight w:val="300"/>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073"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127"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541"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326"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R</w:t>
            </w:r>
          </w:p>
        </w:tc>
        <w:tc>
          <w:tcPr>
            <w:tcW w:w="1489"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684"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J</w:t>
            </w:r>
          </w:p>
        </w:tc>
        <w:tc>
          <w:tcPr>
            <w:tcW w:w="630"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V</w:t>
            </w:r>
          </w:p>
        </w:tc>
      </w:tr>
      <w:tr w:rsidR="00113290" w:rsidRPr="00113290" w:rsidTr="003C409A">
        <w:trPr>
          <w:trHeight w:val="300"/>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073"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127"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541"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326"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K</w:t>
            </w:r>
          </w:p>
        </w:tc>
        <w:tc>
          <w:tcPr>
            <w:tcW w:w="1489"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684"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S</w:t>
            </w:r>
          </w:p>
        </w:tc>
        <w:tc>
          <w:tcPr>
            <w:tcW w:w="630"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V</w:t>
            </w:r>
          </w:p>
        </w:tc>
      </w:tr>
      <w:tr w:rsidR="00113290" w:rsidRPr="00113290" w:rsidTr="003C409A">
        <w:trPr>
          <w:trHeight w:val="300"/>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073"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127"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541"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326"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W</w:t>
            </w:r>
          </w:p>
        </w:tc>
        <w:tc>
          <w:tcPr>
            <w:tcW w:w="1489"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684"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I</w:t>
            </w:r>
          </w:p>
        </w:tc>
        <w:tc>
          <w:tcPr>
            <w:tcW w:w="630"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V</w:t>
            </w:r>
          </w:p>
        </w:tc>
      </w:tr>
      <w:tr w:rsidR="00113290" w:rsidRPr="00113290" w:rsidTr="003C409A">
        <w:trPr>
          <w:trHeight w:val="300"/>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073"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127"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541"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326"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N</w:t>
            </w:r>
          </w:p>
        </w:tc>
        <w:tc>
          <w:tcPr>
            <w:tcW w:w="1489"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684"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M</w:t>
            </w:r>
          </w:p>
        </w:tc>
        <w:tc>
          <w:tcPr>
            <w:tcW w:w="630"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V</w:t>
            </w:r>
          </w:p>
        </w:tc>
      </w:tr>
      <w:tr w:rsidR="00113290" w:rsidRPr="00113290" w:rsidTr="003C409A">
        <w:trPr>
          <w:trHeight w:val="300"/>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073"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127"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541"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326"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X</w:t>
            </w:r>
          </w:p>
        </w:tc>
        <w:tc>
          <w:tcPr>
            <w:tcW w:w="1489"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684"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A</w:t>
            </w:r>
          </w:p>
        </w:tc>
        <w:tc>
          <w:tcPr>
            <w:tcW w:w="630"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V</w:t>
            </w:r>
          </w:p>
        </w:tc>
      </w:tr>
      <w:tr w:rsidR="00113290" w:rsidRPr="00113290" w:rsidTr="003C409A">
        <w:trPr>
          <w:trHeight w:val="300"/>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073"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127"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541"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326"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M</w:t>
            </w:r>
          </w:p>
        </w:tc>
        <w:tc>
          <w:tcPr>
            <w:tcW w:w="1489"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684"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P</w:t>
            </w:r>
          </w:p>
        </w:tc>
        <w:tc>
          <w:tcPr>
            <w:tcW w:w="630"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V</w:t>
            </w:r>
          </w:p>
        </w:tc>
      </w:tr>
      <w:tr w:rsidR="00113290" w:rsidRPr="00113290" w:rsidTr="003C409A">
        <w:trPr>
          <w:trHeight w:val="300"/>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073"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127"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541"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326"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489"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684"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Z</w:t>
            </w:r>
          </w:p>
        </w:tc>
        <w:tc>
          <w:tcPr>
            <w:tcW w:w="630"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V</w:t>
            </w:r>
          </w:p>
        </w:tc>
      </w:tr>
      <w:tr w:rsidR="00113290" w:rsidRPr="00113290" w:rsidTr="003C409A">
        <w:trPr>
          <w:trHeight w:val="300"/>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073"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127"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541"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326"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1489"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p>
        </w:tc>
        <w:tc>
          <w:tcPr>
            <w:tcW w:w="684"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C</w:t>
            </w:r>
          </w:p>
        </w:tc>
        <w:tc>
          <w:tcPr>
            <w:tcW w:w="630" w:type="dxa"/>
            <w:tcBorders>
              <w:top w:val="nil"/>
              <w:left w:val="nil"/>
              <w:bottom w:val="single" w:sz="4" w:space="0" w:color="auto"/>
              <w:right w:val="single" w:sz="4" w:space="0" w:color="auto"/>
            </w:tcBorders>
            <w:shd w:val="clear" w:color="auto" w:fill="auto"/>
            <w:noWrap/>
            <w:vAlign w:val="bottom"/>
            <w:hideMark/>
          </w:tcPr>
          <w:p w:rsidR="00113290" w:rsidRPr="00113290" w:rsidRDefault="00113290" w:rsidP="003C409A">
            <w:pPr>
              <w:spacing w:after="0" w:line="240" w:lineRule="auto"/>
              <w:jc w:val="center"/>
              <w:rPr>
                <w:rFonts w:ascii="Calibri" w:eastAsia="Times New Roman" w:hAnsi="Calibri" w:cs="Calibri"/>
                <w:color w:val="000000"/>
              </w:rPr>
            </w:pPr>
            <w:r w:rsidRPr="00113290">
              <w:rPr>
                <w:rFonts w:ascii="Calibri" w:eastAsia="Times New Roman" w:hAnsi="Calibri" w:cs="Calibri"/>
                <w:color w:val="000000"/>
              </w:rPr>
              <w:t>V</w:t>
            </w:r>
          </w:p>
        </w:tc>
      </w:tr>
    </w:tbl>
    <w:p w:rsidR="00113290" w:rsidRDefault="00113290" w:rsidP="003C409A">
      <w:pPr>
        <w:jc w:val="both"/>
        <w:rPr>
          <w:lang w:val="en-US"/>
        </w:rPr>
      </w:pPr>
    </w:p>
    <w:p w:rsidR="003C409A" w:rsidRDefault="003C409A" w:rsidP="003C409A">
      <w:pPr>
        <w:jc w:val="both"/>
        <w:rPr>
          <w:lang w:val="en-US"/>
        </w:rPr>
      </w:pPr>
      <w:r>
        <w:rPr>
          <w:lang w:val="en-US"/>
        </w:rPr>
        <w:t>The average length is 1.4, which means for any arbitrary pair of nodes in the network, it averagely takes 1.4 hops to connect them.</w:t>
      </w:r>
    </w:p>
    <w:p w:rsidR="003C409A" w:rsidRDefault="003C409A" w:rsidP="003C409A">
      <w:pPr>
        <w:jc w:val="both"/>
        <w:rPr>
          <w:lang w:val="en-US"/>
        </w:rPr>
      </w:pPr>
      <w:r>
        <w:rPr>
          <w:lang w:val="en-US"/>
        </w:rPr>
        <w:t>The diameter is 2, which means for any pairs of nodes, it takes at most 2 hops to connect them.</w:t>
      </w:r>
    </w:p>
    <w:p w:rsidR="003C409A" w:rsidRDefault="003C409A" w:rsidP="003C409A">
      <w:pPr>
        <w:jc w:val="both"/>
        <w:rPr>
          <w:lang w:val="en-US"/>
        </w:rPr>
      </w:pPr>
      <w:r>
        <w:rPr>
          <w:lang w:val="en-US"/>
        </w:rPr>
        <w:t>The Radius is also 2, which means each node has at least one counterpart that takes it at least 2 hops to reach.</w:t>
      </w:r>
    </w:p>
    <w:p w:rsidR="003C409A" w:rsidRDefault="003C409A" w:rsidP="003C409A">
      <w:pPr>
        <w:jc w:val="both"/>
        <w:rPr>
          <w:lang w:val="en-US"/>
        </w:rPr>
      </w:pPr>
      <w:r>
        <w:rPr>
          <w:lang w:val="en-US"/>
        </w:rPr>
        <w:t>The number of nodes to remove is 8, which means at least 8 nodes should be removed in order to break the network apart. The nodes should be removed are listed in the next column.</w:t>
      </w:r>
    </w:p>
    <w:p w:rsidR="003C409A" w:rsidRDefault="003C409A" w:rsidP="003C409A">
      <w:pPr>
        <w:jc w:val="both"/>
        <w:rPr>
          <w:lang w:val="en-US"/>
        </w:rPr>
      </w:pPr>
      <w:r>
        <w:rPr>
          <w:lang w:val="en-US"/>
        </w:rPr>
        <w:t>The n</w:t>
      </w:r>
      <w:r>
        <w:rPr>
          <w:lang w:val="en-US"/>
        </w:rPr>
        <w:t xml:space="preserve">umber of </w:t>
      </w:r>
      <w:r>
        <w:rPr>
          <w:lang w:val="en-US"/>
        </w:rPr>
        <w:t>edges to remove is 10, which means at least 10 edges</w:t>
      </w:r>
      <w:r>
        <w:rPr>
          <w:lang w:val="en-US"/>
        </w:rPr>
        <w:t xml:space="preserve"> should be removed in order to br</w:t>
      </w:r>
      <w:r>
        <w:rPr>
          <w:lang w:val="en-US"/>
        </w:rPr>
        <w:t>eak the network apart. The edges should be</w:t>
      </w:r>
      <w:r>
        <w:rPr>
          <w:lang w:val="en-US"/>
        </w:rPr>
        <w:t xml:space="preserve"> removed are listed in the next</w:t>
      </w:r>
      <w:r w:rsidR="003B45B9">
        <w:rPr>
          <w:lang w:val="en-US"/>
        </w:rPr>
        <w:t xml:space="preserve"> two</w:t>
      </w:r>
      <w:r>
        <w:rPr>
          <w:lang w:val="en-US"/>
        </w:rPr>
        <w:t xml:space="preserve"> column</w:t>
      </w:r>
      <w:r w:rsidR="003B45B9">
        <w:rPr>
          <w:lang w:val="en-US"/>
        </w:rPr>
        <w:t>s</w:t>
      </w:r>
      <w:r>
        <w:rPr>
          <w:lang w:val="en-US"/>
        </w:rPr>
        <w:t>.</w:t>
      </w:r>
    </w:p>
    <w:p w:rsidR="003B45B9" w:rsidRDefault="003B45B9" w:rsidP="003C409A">
      <w:pPr>
        <w:jc w:val="both"/>
        <w:rPr>
          <w:lang w:val="en-US"/>
        </w:rPr>
      </w:pPr>
    </w:p>
    <w:p w:rsidR="003B45B9" w:rsidRDefault="003B45B9" w:rsidP="003B45B9">
      <w:pPr>
        <w:jc w:val="both"/>
        <w:rPr>
          <w:rFonts w:asciiTheme="majorHAnsi" w:eastAsiaTheme="majorEastAsia" w:hAnsiTheme="majorHAnsi" w:cstheme="majorBidi"/>
          <w:color w:val="2E74B5" w:themeColor="accent1" w:themeShade="BF"/>
          <w:sz w:val="32"/>
          <w:szCs w:val="32"/>
          <w:lang w:val="en-US"/>
        </w:rPr>
      </w:pPr>
      <w:r>
        <w:rPr>
          <w:rFonts w:asciiTheme="majorHAnsi" w:eastAsiaTheme="majorEastAsia" w:hAnsiTheme="majorHAnsi" w:cstheme="majorBidi"/>
          <w:color w:val="2E74B5" w:themeColor="accent1" w:themeShade="BF"/>
          <w:sz w:val="32"/>
          <w:szCs w:val="32"/>
          <w:lang w:val="en-US"/>
        </w:rPr>
        <w:t>Eccentricities</w:t>
      </w:r>
    </w:p>
    <w:p w:rsidR="003B45B9" w:rsidRDefault="003B45B9" w:rsidP="003B45B9">
      <w:pPr>
        <w:jc w:val="both"/>
        <w:rPr>
          <w:lang w:val="en-US"/>
        </w:rPr>
      </w:pPr>
      <w:r>
        <w:rPr>
          <w:lang w:val="en-US"/>
        </w:rPr>
        <w:t xml:space="preserve">Eccentricity indicates how far away a node is from the network’s center. From the results in the second sheet, we can see that all the nodes has an eccentricity of 2, and all the nodes are both peripheries (marginal nodes) and centers. Therefore the network does not have an obvious center. </w:t>
      </w:r>
    </w:p>
    <w:p w:rsidR="003308ED" w:rsidRDefault="003308ED" w:rsidP="003B45B9">
      <w:pPr>
        <w:jc w:val="both"/>
        <w:rPr>
          <w:lang w:val="en-US"/>
        </w:rPr>
      </w:pPr>
      <w:r>
        <w:rPr>
          <w:lang w:val="en-US"/>
        </w:rPr>
        <w:lastRenderedPageBreak/>
        <w:t>Eccentricity is not weighted. In other words, if a node has only one connection to the rest part of the network and another has many, they have the same eccentricity, but when it comes to centrality, the latter will be greater. This can be seen in the next section.</w:t>
      </w:r>
    </w:p>
    <w:p w:rsidR="003308ED" w:rsidRDefault="003308ED" w:rsidP="003B45B9">
      <w:pPr>
        <w:jc w:val="both"/>
        <w:rPr>
          <w:lang w:val="en-US"/>
        </w:rPr>
      </w:pPr>
    </w:p>
    <w:p w:rsidR="003308ED" w:rsidRDefault="003308ED" w:rsidP="003308ED">
      <w:pPr>
        <w:jc w:val="both"/>
        <w:rPr>
          <w:rFonts w:asciiTheme="majorHAnsi" w:eastAsiaTheme="majorEastAsia" w:hAnsiTheme="majorHAnsi" w:cstheme="majorBidi"/>
          <w:color w:val="2E74B5" w:themeColor="accent1" w:themeShade="BF"/>
          <w:sz w:val="32"/>
          <w:szCs w:val="32"/>
          <w:lang w:val="en-US"/>
        </w:rPr>
      </w:pPr>
      <w:r>
        <w:rPr>
          <w:rFonts w:asciiTheme="majorHAnsi" w:eastAsiaTheme="majorEastAsia" w:hAnsiTheme="majorHAnsi" w:cstheme="majorBidi"/>
          <w:color w:val="2E74B5" w:themeColor="accent1" w:themeShade="BF"/>
          <w:sz w:val="32"/>
          <w:szCs w:val="32"/>
          <w:lang w:val="en-US"/>
        </w:rPr>
        <w:t>Central</w:t>
      </w:r>
      <w:r>
        <w:rPr>
          <w:rFonts w:asciiTheme="majorHAnsi" w:eastAsiaTheme="majorEastAsia" w:hAnsiTheme="majorHAnsi" w:cstheme="majorBidi"/>
          <w:color w:val="2E74B5" w:themeColor="accent1" w:themeShade="BF"/>
          <w:sz w:val="32"/>
          <w:szCs w:val="32"/>
          <w:lang w:val="en-US"/>
        </w:rPr>
        <w:t>ities</w:t>
      </w:r>
    </w:p>
    <w:p w:rsidR="003308ED" w:rsidRDefault="003308ED" w:rsidP="003308ED">
      <w:pPr>
        <w:jc w:val="both"/>
        <w:rPr>
          <w:lang w:val="en-US"/>
        </w:rPr>
      </w:pPr>
      <w:r>
        <w:rPr>
          <w:lang w:val="en-US"/>
        </w:rPr>
        <w:t>Centrality</w:t>
      </w:r>
      <w:r>
        <w:rPr>
          <w:lang w:val="en-US"/>
        </w:rPr>
        <w:t xml:space="preserve"> </w:t>
      </w:r>
      <w:r>
        <w:rPr>
          <w:lang w:val="en-US"/>
        </w:rPr>
        <w:t>shows which nodes are at the center of the network. In the third sheet three types of centralities were calculated.</w:t>
      </w:r>
    </w:p>
    <w:p w:rsidR="003308ED" w:rsidRDefault="003308ED" w:rsidP="003308ED">
      <w:pPr>
        <w:jc w:val="both"/>
        <w:rPr>
          <w:lang w:val="en-US"/>
        </w:rPr>
      </w:pPr>
      <w:r>
        <w:rPr>
          <w:lang w:val="en-US"/>
        </w:rPr>
        <w:t xml:space="preserve">Degree centrality is based on how many neighbors a node has. </w:t>
      </w:r>
      <w:proofErr w:type="spellStart"/>
      <w:r>
        <w:rPr>
          <w:lang w:val="en-US"/>
        </w:rPr>
        <w:t>Betweenness</w:t>
      </w:r>
      <w:proofErr w:type="spellEnd"/>
      <w:r>
        <w:rPr>
          <w:lang w:val="en-US"/>
        </w:rPr>
        <w:t xml:space="preserve"> centrality is based on how many connections go through this node, and closeness centrality indicates how close this node is from other nodes.</w:t>
      </w:r>
      <w:bookmarkStart w:id="0" w:name="_GoBack"/>
      <w:bookmarkEnd w:id="0"/>
    </w:p>
    <w:p w:rsidR="003308ED" w:rsidRDefault="003308ED" w:rsidP="004852AD">
      <w:pPr>
        <w:jc w:val="both"/>
        <w:rPr>
          <w:lang w:val="en-US"/>
        </w:rPr>
      </w:pPr>
      <w:r>
        <w:rPr>
          <w:lang w:val="en-US"/>
        </w:rPr>
        <w:t xml:space="preserve">The results are presented </w:t>
      </w:r>
      <w:r w:rsidR="00895FBB">
        <w:rPr>
          <w:lang w:val="en-US"/>
        </w:rPr>
        <w:t>with three column charts.</w:t>
      </w:r>
    </w:p>
    <w:p w:rsidR="004852AD" w:rsidRDefault="004852AD" w:rsidP="004852AD">
      <w:pPr>
        <w:jc w:val="center"/>
        <w:rPr>
          <w:lang w:val="en-US"/>
        </w:rPr>
      </w:pPr>
      <w:r>
        <w:rPr>
          <w:noProof/>
        </w:rPr>
        <w:drawing>
          <wp:inline distT="0" distB="0" distL="0" distR="0" wp14:anchorId="70AE7AA5" wp14:editId="484D1D0C">
            <wp:extent cx="4514851" cy="3657599"/>
            <wp:effectExtent l="0" t="0" r="0" b="6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4852AD" w:rsidRDefault="004852AD" w:rsidP="004852AD">
      <w:pPr>
        <w:jc w:val="center"/>
        <w:rPr>
          <w:lang w:val="en-US"/>
        </w:rPr>
      </w:pPr>
      <w:r>
        <w:rPr>
          <w:noProof/>
        </w:rPr>
        <w:lastRenderedPageBreak/>
        <w:drawing>
          <wp:inline distT="0" distB="0" distL="0" distR="0" wp14:anchorId="654F4C92" wp14:editId="69482197">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852AD" w:rsidRDefault="004852AD" w:rsidP="004852AD">
      <w:pPr>
        <w:jc w:val="center"/>
        <w:rPr>
          <w:lang w:val="en-US"/>
        </w:rPr>
      </w:pPr>
    </w:p>
    <w:p w:rsidR="004852AD" w:rsidRDefault="004852AD" w:rsidP="004852AD">
      <w:pPr>
        <w:jc w:val="center"/>
        <w:rPr>
          <w:lang w:val="en-US"/>
        </w:rPr>
      </w:pPr>
      <w:r>
        <w:rPr>
          <w:noProof/>
        </w:rPr>
        <w:drawing>
          <wp:inline distT="0" distB="0" distL="0" distR="0" wp14:anchorId="01B80247" wp14:editId="1A0D9A24">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C409A" w:rsidRDefault="003C409A" w:rsidP="004852AD">
      <w:pPr>
        <w:jc w:val="center"/>
        <w:rPr>
          <w:lang w:val="en-US"/>
        </w:rPr>
      </w:pPr>
    </w:p>
    <w:p w:rsidR="003C409A" w:rsidRPr="00113290" w:rsidRDefault="003C409A" w:rsidP="004852AD">
      <w:pPr>
        <w:jc w:val="center"/>
        <w:rPr>
          <w:lang w:val="en-US"/>
        </w:rPr>
      </w:pPr>
    </w:p>
    <w:sectPr w:rsidR="003C409A" w:rsidRPr="0011329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64"/>
    <w:rsid w:val="00113290"/>
    <w:rsid w:val="003308ED"/>
    <w:rsid w:val="003B45B9"/>
    <w:rsid w:val="003C409A"/>
    <w:rsid w:val="004852AD"/>
    <w:rsid w:val="00533764"/>
    <w:rsid w:val="00895FBB"/>
    <w:rsid w:val="00A86B3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07C5"/>
  <w15:chartTrackingRefBased/>
  <w15:docId w15:val="{1BB11581-2DA0-4A1E-9F17-1AAB53CFE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32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32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2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329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47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c239363\Downloads\Results_1st_da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c239363\Downloads\Results_1st_da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c239363\Downloads\Results_1st_day.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solidFill>
                  <a:schemeClr val="tx2">
                    <a:lumMod val="75000"/>
                  </a:schemeClr>
                </a:solidFill>
              </a:rPr>
              <a:t>Degree Centralities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9627113604263519E-2"/>
          <c:y val="0.13721271393643031"/>
          <c:w val="0.8189056433305314"/>
          <c:h val="0.78716131143753731"/>
        </c:manualLayout>
      </c:layout>
      <c:bar3DChart>
        <c:barDir val="col"/>
        <c:grouping val="standard"/>
        <c:varyColors val="0"/>
        <c:ser>
          <c:idx val="0"/>
          <c:order val="0"/>
          <c:spPr>
            <a:solidFill>
              <a:schemeClr val="accent1"/>
            </a:solidFill>
            <a:ln>
              <a:noFill/>
            </a:ln>
            <a:effectLst/>
            <a:sp3d/>
          </c:spPr>
          <c:invertIfNegative val="0"/>
          <c:cat>
            <c:strRef>
              <c:f>Centralities!$A$2:$A$27</c:f>
              <c:strCache>
                <c:ptCount val="26"/>
                <c:pt idx="0">
                  <c:v>M</c:v>
                </c:pt>
                <c:pt idx="1">
                  <c:v>X</c:v>
                </c:pt>
                <c:pt idx="2">
                  <c:v>U</c:v>
                </c:pt>
                <c:pt idx="3">
                  <c:v>N</c:v>
                </c:pt>
                <c:pt idx="4">
                  <c:v>Y</c:v>
                </c:pt>
                <c:pt idx="5">
                  <c:v>K</c:v>
                </c:pt>
                <c:pt idx="6">
                  <c:v>W</c:v>
                </c:pt>
                <c:pt idx="7">
                  <c:v>S</c:v>
                </c:pt>
                <c:pt idx="8">
                  <c:v>R</c:v>
                </c:pt>
                <c:pt idx="9">
                  <c:v>E</c:v>
                </c:pt>
                <c:pt idx="10">
                  <c:v>a</c:v>
                </c:pt>
                <c:pt idx="11">
                  <c:v>J</c:v>
                </c:pt>
                <c:pt idx="12">
                  <c:v>P</c:v>
                </c:pt>
                <c:pt idx="13">
                  <c:v>Q</c:v>
                </c:pt>
                <c:pt idx="14">
                  <c:v>D</c:v>
                </c:pt>
                <c:pt idx="15">
                  <c:v>H</c:v>
                </c:pt>
                <c:pt idx="16">
                  <c:v>Z</c:v>
                </c:pt>
                <c:pt idx="17">
                  <c:v>C</c:v>
                </c:pt>
                <c:pt idx="18">
                  <c:v>F</c:v>
                </c:pt>
                <c:pt idx="19">
                  <c:v>A</c:v>
                </c:pt>
                <c:pt idx="20">
                  <c:v>B</c:v>
                </c:pt>
                <c:pt idx="21">
                  <c:v>O</c:v>
                </c:pt>
                <c:pt idx="22">
                  <c:v>L</c:v>
                </c:pt>
                <c:pt idx="23">
                  <c:v>I</c:v>
                </c:pt>
                <c:pt idx="24">
                  <c:v>T</c:v>
                </c:pt>
                <c:pt idx="25">
                  <c:v>V</c:v>
                </c:pt>
              </c:strCache>
            </c:strRef>
          </c:cat>
          <c:val>
            <c:numRef>
              <c:f>Centralities!$B$2:$B$27</c:f>
              <c:numCache>
                <c:formatCode>General</c:formatCode>
                <c:ptCount val="26"/>
                <c:pt idx="0">
                  <c:v>21.36</c:v>
                </c:pt>
                <c:pt idx="1">
                  <c:v>17.04</c:v>
                </c:pt>
                <c:pt idx="2">
                  <c:v>10.96</c:v>
                </c:pt>
                <c:pt idx="3">
                  <c:v>8.32</c:v>
                </c:pt>
                <c:pt idx="4">
                  <c:v>5.36</c:v>
                </c:pt>
                <c:pt idx="5">
                  <c:v>5.04</c:v>
                </c:pt>
                <c:pt idx="6">
                  <c:v>4.72</c:v>
                </c:pt>
                <c:pt idx="7">
                  <c:v>4.32</c:v>
                </c:pt>
                <c:pt idx="8">
                  <c:v>4.16</c:v>
                </c:pt>
                <c:pt idx="9">
                  <c:v>4.08</c:v>
                </c:pt>
                <c:pt idx="10">
                  <c:v>3.76</c:v>
                </c:pt>
                <c:pt idx="11">
                  <c:v>3.68</c:v>
                </c:pt>
                <c:pt idx="12">
                  <c:v>2.72</c:v>
                </c:pt>
                <c:pt idx="13">
                  <c:v>2.56</c:v>
                </c:pt>
                <c:pt idx="14">
                  <c:v>2.48</c:v>
                </c:pt>
                <c:pt idx="15">
                  <c:v>2.3199999999999998</c:v>
                </c:pt>
                <c:pt idx="16">
                  <c:v>2.3199999999999998</c:v>
                </c:pt>
                <c:pt idx="17">
                  <c:v>2.16</c:v>
                </c:pt>
                <c:pt idx="18">
                  <c:v>1.68</c:v>
                </c:pt>
                <c:pt idx="19">
                  <c:v>1.68</c:v>
                </c:pt>
                <c:pt idx="20">
                  <c:v>0.8</c:v>
                </c:pt>
                <c:pt idx="21">
                  <c:v>0.8</c:v>
                </c:pt>
                <c:pt idx="22">
                  <c:v>0.72</c:v>
                </c:pt>
                <c:pt idx="23">
                  <c:v>0.72</c:v>
                </c:pt>
                <c:pt idx="24">
                  <c:v>0.56000000000000005</c:v>
                </c:pt>
                <c:pt idx="25">
                  <c:v>0.48</c:v>
                </c:pt>
              </c:numCache>
            </c:numRef>
          </c:val>
          <c:extLst>
            <c:ext xmlns:c16="http://schemas.microsoft.com/office/drawing/2014/chart" uri="{C3380CC4-5D6E-409C-BE32-E72D297353CC}">
              <c16:uniqueId val="{00000000-7186-418D-8663-1ADBF6B62BF0}"/>
            </c:ext>
          </c:extLst>
        </c:ser>
        <c:dLbls>
          <c:showLegendKey val="0"/>
          <c:showVal val="0"/>
          <c:showCatName val="0"/>
          <c:showSerName val="0"/>
          <c:showPercent val="0"/>
          <c:showBubbleSize val="0"/>
        </c:dLbls>
        <c:gapWidth val="150"/>
        <c:shape val="box"/>
        <c:axId val="395871432"/>
        <c:axId val="395867168"/>
        <c:axId val="521139344"/>
      </c:bar3DChart>
      <c:catAx>
        <c:axId val="3958714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867168"/>
        <c:crosses val="autoZero"/>
        <c:auto val="1"/>
        <c:lblAlgn val="ctr"/>
        <c:lblOffset val="100"/>
        <c:noMultiLvlLbl val="0"/>
      </c:catAx>
      <c:valAx>
        <c:axId val="395867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871432"/>
        <c:crosses val="autoZero"/>
        <c:crossBetween val="between"/>
      </c:valAx>
      <c:serAx>
        <c:axId val="521139344"/>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867168"/>
        <c:crosses val="autoZero"/>
      </c:ser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solidFill>
                  <a:schemeClr val="tx2">
                    <a:lumMod val="75000"/>
                  </a:schemeClr>
                </a:solidFill>
              </a:rPr>
              <a:t>Betweenness</a:t>
            </a:r>
            <a:r>
              <a:rPr lang="en-AU" baseline="0">
                <a:solidFill>
                  <a:schemeClr val="tx2">
                    <a:lumMod val="75000"/>
                  </a:schemeClr>
                </a:solidFill>
              </a:rPr>
              <a:t> Centralities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spPr>
            <a:solidFill>
              <a:schemeClr val="accent1"/>
            </a:solidFill>
            <a:ln>
              <a:noFill/>
            </a:ln>
            <a:effectLst/>
            <a:sp3d/>
          </c:spPr>
          <c:invertIfNegative val="0"/>
          <c:cat>
            <c:strRef>
              <c:f>Centralities!$D$2:$D$27</c:f>
              <c:strCache>
                <c:ptCount val="26"/>
                <c:pt idx="0">
                  <c:v>W</c:v>
                </c:pt>
                <c:pt idx="1">
                  <c:v>Q</c:v>
                </c:pt>
                <c:pt idx="2">
                  <c:v>N</c:v>
                </c:pt>
                <c:pt idx="3">
                  <c:v>S</c:v>
                </c:pt>
                <c:pt idx="4">
                  <c:v>J</c:v>
                </c:pt>
                <c:pt idx="5">
                  <c:v>K</c:v>
                </c:pt>
                <c:pt idx="6">
                  <c:v>M</c:v>
                </c:pt>
                <c:pt idx="7">
                  <c:v>C</c:v>
                </c:pt>
                <c:pt idx="8">
                  <c:v>P</c:v>
                </c:pt>
                <c:pt idx="9">
                  <c:v>H</c:v>
                </c:pt>
                <c:pt idx="10">
                  <c:v>a</c:v>
                </c:pt>
                <c:pt idx="11">
                  <c:v>E</c:v>
                </c:pt>
                <c:pt idx="12">
                  <c:v>Z</c:v>
                </c:pt>
                <c:pt idx="13">
                  <c:v>A</c:v>
                </c:pt>
                <c:pt idx="14">
                  <c:v>F</c:v>
                </c:pt>
                <c:pt idx="15">
                  <c:v>L</c:v>
                </c:pt>
                <c:pt idx="16">
                  <c:v>U</c:v>
                </c:pt>
                <c:pt idx="17">
                  <c:v>X</c:v>
                </c:pt>
                <c:pt idx="18">
                  <c:v>I</c:v>
                </c:pt>
                <c:pt idx="19">
                  <c:v>O</c:v>
                </c:pt>
                <c:pt idx="20">
                  <c:v>Y</c:v>
                </c:pt>
                <c:pt idx="21">
                  <c:v>T</c:v>
                </c:pt>
                <c:pt idx="22">
                  <c:v>R</c:v>
                </c:pt>
                <c:pt idx="23">
                  <c:v>B</c:v>
                </c:pt>
                <c:pt idx="24">
                  <c:v>D</c:v>
                </c:pt>
                <c:pt idx="25">
                  <c:v>V</c:v>
                </c:pt>
              </c:strCache>
            </c:strRef>
          </c:cat>
          <c:val>
            <c:numRef>
              <c:f>Centralities!$E$2:$E$27</c:f>
              <c:numCache>
                <c:formatCode>General</c:formatCode>
                <c:ptCount val="26"/>
                <c:pt idx="0">
                  <c:v>4.6472874347874359E-2</c:v>
                </c:pt>
                <c:pt idx="1">
                  <c:v>4.5855352980352988E-2</c:v>
                </c:pt>
                <c:pt idx="2">
                  <c:v>4.3439602064602068E-2</c:v>
                </c:pt>
                <c:pt idx="3">
                  <c:v>3.6998344248344257E-2</c:v>
                </c:pt>
                <c:pt idx="4">
                  <c:v>3.3940804565804561E-2</c:v>
                </c:pt>
                <c:pt idx="5">
                  <c:v>2.5500915750915759E-2</c:v>
                </c:pt>
                <c:pt idx="6">
                  <c:v>2.3325637325637329E-2</c:v>
                </c:pt>
                <c:pt idx="7">
                  <c:v>2.2488303363303361E-2</c:v>
                </c:pt>
                <c:pt idx="8">
                  <c:v>1.8022116772116771E-2</c:v>
                </c:pt>
                <c:pt idx="9">
                  <c:v>1.7512617012617009E-2</c:v>
                </c:pt>
                <c:pt idx="10">
                  <c:v>1.66752183002183E-2</c:v>
                </c:pt>
                <c:pt idx="11">
                  <c:v>1.4323042698042699E-2</c:v>
                </c:pt>
                <c:pt idx="12">
                  <c:v>1.356751119251119E-2</c:v>
                </c:pt>
                <c:pt idx="13">
                  <c:v>1.1830303955303949E-2</c:v>
                </c:pt>
                <c:pt idx="14">
                  <c:v>1.110619473119473E-2</c:v>
                </c:pt>
                <c:pt idx="15">
                  <c:v>1.0734043734043731E-2</c:v>
                </c:pt>
                <c:pt idx="16">
                  <c:v>1.016543179043179E-2</c:v>
                </c:pt>
                <c:pt idx="17">
                  <c:v>6.8068783068783081E-3</c:v>
                </c:pt>
                <c:pt idx="18">
                  <c:v>6.1518527768527776E-3</c:v>
                </c:pt>
                <c:pt idx="19">
                  <c:v>5.4226190476190476E-3</c:v>
                </c:pt>
                <c:pt idx="20">
                  <c:v>4.900530025530027E-3</c:v>
                </c:pt>
                <c:pt idx="21">
                  <c:v>2.984163984163984E-3</c:v>
                </c:pt>
                <c:pt idx="22">
                  <c:v>2.2486772486772491E-3</c:v>
                </c:pt>
                <c:pt idx="23">
                  <c:v>2.2140822140822138E-3</c:v>
                </c:pt>
                <c:pt idx="24">
                  <c:v>2.1259157509157509E-3</c:v>
                </c:pt>
                <c:pt idx="25">
                  <c:v>1.8536324786324789E-3</c:v>
                </c:pt>
              </c:numCache>
            </c:numRef>
          </c:val>
          <c:extLst>
            <c:ext xmlns:c16="http://schemas.microsoft.com/office/drawing/2014/chart" uri="{C3380CC4-5D6E-409C-BE32-E72D297353CC}">
              <c16:uniqueId val="{00000000-AF2B-4CB1-A494-DFCC5ADC41D7}"/>
            </c:ext>
          </c:extLst>
        </c:ser>
        <c:dLbls>
          <c:showLegendKey val="0"/>
          <c:showVal val="0"/>
          <c:showCatName val="0"/>
          <c:showSerName val="0"/>
          <c:showPercent val="0"/>
          <c:showBubbleSize val="0"/>
        </c:dLbls>
        <c:gapWidth val="150"/>
        <c:shape val="box"/>
        <c:axId val="397036112"/>
        <c:axId val="397039720"/>
        <c:axId val="520892496"/>
      </c:bar3DChart>
      <c:catAx>
        <c:axId val="3970361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039720"/>
        <c:crosses val="autoZero"/>
        <c:auto val="1"/>
        <c:lblAlgn val="ctr"/>
        <c:lblOffset val="100"/>
        <c:noMultiLvlLbl val="0"/>
      </c:catAx>
      <c:valAx>
        <c:axId val="397039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036112"/>
        <c:crosses val="autoZero"/>
        <c:crossBetween val="between"/>
      </c:valAx>
      <c:serAx>
        <c:axId val="520892496"/>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039720"/>
        <c:crosses val="autoZero"/>
      </c:ser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Closeness Centralities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spPr>
            <a:solidFill>
              <a:schemeClr val="accent1"/>
            </a:solidFill>
            <a:ln>
              <a:noFill/>
            </a:ln>
            <a:effectLst/>
            <a:sp3d/>
          </c:spPr>
          <c:invertIfNegative val="0"/>
          <c:cat>
            <c:strRef>
              <c:f>Centralities!$G$2:$G$27</c:f>
              <c:strCache>
                <c:ptCount val="26"/>
                <c:pt idx="0">
                  <c:v>N</c:v>
                </c:pt>
                <c:pt idx="1">
                  <c:v>W</c:v>
                </c:pt>
                <c:pt idx="2">
                  <c:v>J</c:v>
                </c:pt>
                <c:pt idx="3">
                  <c:v>Q</c:v>
                </c:pt>
                <c:pt idx="4">
                  <c:v>S</c:v>
                </c:pt>
                <c:pt idx="5">
                  <c:v>C</c:v>
                </c:pt>
                <c:pt idx="6">
                  <c:v>K</c:v>
                </c:pt>
                <c:pt idx="7">
                  <c:v>P</c:v>
                </c:pt>
                <c:pt idx="8">
                  <c:v>a</c:v>
                </c:pt>
                <c:pt idx="9">
                  <c:v>E</c:v>
                </c:pt>
                <c:pt idx="10">
                  <c:v>A</c:v>
                </c:pt>
                <c:pt idx="11">
                  <c:v>Z</c:v>
                </c:pt>
                <c:pt idx="12">
                  <c:v>H</c:v>
                </c:pt>
                <c:pt idx="13">
                  <c:v>M</c:v>
                </c:pt>
                <c:pt idx="14">
                  <c:v>U</c:v>
                </c:pt>
                <c:pt idx="15">
                  <c:v>Y</c:v>
                </c:pt>
                <c:pt idx="16">
                  <c:v>F</c:v>
                </c:pt>
                <c:pt idx="17">
                  <c:v>I</c:v>
                </c:pt>
                <c:pt idx="18">
                  <c:v>D</c:v>
                </c:pt>
                <c:pt idx="19">
                  <c:v>X</c:v>
                </c:pt>
                <c:pt idx="20">
                  <c:v>L</c:v>
                </c:pt>
                <c:pt idx="21">
                  <c:v>O</c:v>
                </c:pt>
                <c:pt idx="22">
                  <c:v>V</c:v>
                </c:pt>
                <c:pt idx="23">
                  <c:v>T</c:v>
                </c:pt>
                <c:pt idx="24">
                  <c:v>B</c:v>
                </c:pt>
                <c:pt idx="25">
                  <c:v>R</c:v>
                </c:pt>
              </c:strCache>
            </c:strRef>
          </c:cat>
          <c:val>
            <c:numRef>
              <c:f>Centralities!$H$2:$H$27</c:f>
              <c:numCache>
                <c:formatCode>General</c:formatCode>
                <c:ptCount val="26"/>
                <c:pt idx="0">
                  <c:v>0.8928571428571429</c:v>
                </c:pt>
                <c:pt idx="1">
                  <c:v>0.8928571428571429</c:v>
                </c:pt>
                <c:pt idx="2">
                  <c:v>0.86206896551724133</c:v>
                </c:pt>
                <c:pt idx="3">
                  <c:v>0.83333333333333337</c:v>
                </c:pt>
                <c:pt idx="4">
                  <c:v>0.83333333333333337</c:v>
                </c:pt>
                <c:pt idx="5">
                  <c:v>0.80645161290322576</c:v>
                </c:pt>
                <c:pt idx="6">
                  <c:v>0.75757575757575757</c:v>
                </c:pt>
                <c:pt idx="7">
                  <c:v>0.75757575757575757</c:v>
                </c:pt>
                <c:pt idx="8">
                  <c:v>0.75757575757575757</c:v>
                </c:pt>
                <c:pt idx="9">
                  <c:v>0.73529411764705888</c:v>
                </c:pt>
                <c:pt idx="10">
                  <c:v>0.73529411764705888</c:v>
                </c:pt>
                <c:pt idx="11">
                  <c:v>0.73529411764705888</c:v>
                </c:pt>
                <c:pt idx="12">
                  <c:v>0.7142857142857143</c:v>
                </c:pt>
                <c:pt idx="13">
                  <c:v>0.7142857142857143</c:v>
                </c:pt>
                <c:pt idx="14">
                  <c:v>0.7142857142857143</c:v>
                </c:pt>
                <c:pt idx="15">
                  <c:v>0.69444444444444442</c:v>
                </c:pt>
                <c:pt idx="16">
                  <c:v>0.67567567567567566</c:v>
                </c:pt>
                <c:pt idx="17">
                  <c:v>0.67567567567567566</c:v>
                </c:pt>
                <c:pt idx="18">
                  <c:v>0.65789473684210531</c:v>
                </c:pt>
                <c:pt idx="19">
                  <c:v>0.64102564102564108</c:v>
                </c:pt>
                <c:pt idx="20">
                  <c:v>0.64102564102564108</c:v>
                </c:pt>
                <c:pt idx="21">
                  <c:v>0.64102564102564108</c:v>
                </c:pt>
                <c:pt idx="22">
                  <c:v>0.625</c:v>
                </c:pt>
                <c:pt idx="23">
                  <c:v>0.6097560975609756</c:v>
                </c:pt>
                <c:pt idx="24">
                  <c:v>0.59523809523809523</c:v>
                </c:pt>
                <c:pt idx="25">
                  <c:v>0.59523809523809523</c:v>
                </c:pt>
              </c:numCache>
            </c:numRef>
          </c:val>
          <c:extLst>
            <c:ext xmlns:c16="http://schemas.microsoft.com/office/drawing/2014/chart" uri="{C3380CC4-5D6E-409C-BE32-E72D297353CC}">
              <c16:uniqueId val="{00000000-AE44-4515-8596-FA92F0284416}"/>
            </c:ext>
          </c:extLst>
        </c:ser>
        <c:dLbls>
          <c:showLegendKey val="0"/>
          <c:showVal val="0"/>
          <c:showCatName val="0"/>
          <c:showSerName val="0"/>
          <c:showPercent val="0"/>
          <c:showBubbleSize val="0"/>
        </c:dLbls>
        <c:gapWidth val="150"/>
        <c:shape val="box"/>
        <c:axId val="524064608"/>
        <c:axId val="524066576"/>
        <c:axId val="524245568"/>
      </c:bar3DChart>
      <c:catAx>
        <c:axId val="5240646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066576"/>
        <c:crosses val="autoZero"/>
        <c:auto val="1"/>
        <c:lblAlgn val="ctr"/>
        <c:lblOffset val="100"/>
        <c:noMultiLvlLbl val="0"/>
      </c:catAx>
      <c:valAx>
        <c:axId val="524066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064608"/>
        <c:crosses val="autoZero"/>
        <c:crossBetween val="between"/>
      </c:valAx>
      <c:serAx>
        <c:axId val="524245568"/>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066576"/>
        <c:crosses val="autoZero"/>
      </c:ser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Xiaonan Li</dc:creator>
  <cp:keywords/>
  <dc:description/>
  <cp:lastModifiedBy>Xiaonan Li</cp:lastModifiedBy>
  <cp:revision>4</cp:revision>
  <dcterms:created xsi:type="dcterms:W3CDTF">2018-12-02T07:39:00Z</dcterms:created>
  <dcterms:modified xsi:type="dcterms:W3CDTF">2018-12-02T08:22:00Z</dcterms:modified>
</cp:coreProperties>
</file>