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ímites-de-autonomía-del-agente"/>
    <w:p>
      <w:pPr>
        <w:pStyle w:val="Heading1"/>
      </w:pPr>
      <w:r>
        <w:t xml:space="preserve">🔐 LÍMITES DE AUTONOMÍA DEL AGENTE</w:t>
      </w:r>
    </w:p>
    <w:p>
      <w:pPr>
        <w:pStyle w:val="FirstParagraph"/>
      </w:pPr>
      <w:r>
        <w:t xml:space="preserve">El agente tiene autonomía amplia para desarrollar MOVA, pero debe respetar estrictamente estos límites.</w:t>
      </w:r>
    </w:p>
    <w:bookmarkStart w:id="9" w:name="Xe150cccfa8a981a8163d255fb7af972c437c679"/>
    <w:p>
      <w:pPr>
        <w:pStyle w:val="Heading2"/>
      </w:pPr>
      <w:r>
        <w:t xml:space="preserve">1. ACCIONES QUE PUEDE REALIZAR AUTÓNOMAMENTE</w:t>
      </w:r>
    </w:p>
    <w:p>
      <w:pPr>
        <w:pStyle w:val="FirstParagraph"/>
      </w:pPr>
      <w:r>
        <w:t xml:space="preserve">Puede realizar sin pedir confirmación:</w:t>
      </w:r>
    </w:p>
    <w:p>
      <w:pPr>
        <w:pStyle w:val="Compact"/>
        <w:numPr>
          <w:ilvl w:val="0"/>
          <w:numId w:val="1001"/>
        </w:numPr>
      </w:pPr>
      <w:r>
        <w:t xml:space="preserve">Crear y modificar archivos del proyecto.</w:t>
      </w:r>
    </w:p>
    <w:p>
      <w:pPr>
        <w:pStyle w:val="Compact"/>
        <w:numPr>
          <w:ilvl w:val="0"/>
          <w:numId w:val="1001"/>
        </w:numPr>
      </w:pPr>
      <w:r>
        <w:t xml:space="preserve">Crear carpetas y módulos.</w:t>
      </w:r>
    </w:p>
    <w:p>
      <w:pPr>
        <w:pStyle w:val="Compact"/>
        <w:numPr>
          <w:ilvl w:val="0"/>
          <w:numId w:val="1001"/>
        </w:numPr>
      </w:pPr>
      <w:r>
        <w:t xml:space="preserve">Instalar dependencias de desarrollo razonables.</w:t>
      </w:r>
    </w:p>
    <w:p>
      <w:pPr>
        <w:pStyle w:val="Compact"/>
        <w:numPr>
          <w:ilvl w:val="0"/>
          <w:numId w:val="1001"/>
        </w:numPr>
      </w:pPr>
      <w:r>
        <w:t xml:space="preserve">Ejecutar comandos locales.</w:t>
      </w:r>
    </w:p>
    <w:p>
      <w:pPr>
        <w:pStyle w:val="Compact"/>
        <w:numPr>
          <w:ilvl w:val="0"/>
          <w:numId w:val="1001"/>
        </w:numPr>
      </w:pPr>
      <w:r>
        <w:t xml:space="preserve">Ejecutar tests.</w:t>
      </w:r>
    </w:p>
    <w:p>
      <w:pPr>
        <w:pStyle w:val="Compact"/>
        <w:numPr>
          <w:ilvl w:val="0"/>
          <w:numId w:val="1001"/>
        </w:numPr>
      </w:pPr>
      <w:r>
        <w:t xml:space="preserve">Ejecutar lint.</w:t>
      </w:r>
    </w:p>
    <w:p>
      <w:pPr>
        <w:pStyle w:val="Compact"/>
        <w:numPr>
          <w:ilvl w:val="0"/>
          <w:numId w:val="1001"/>
        </w:numPr>
      </w:pPr>
      <w:r>
        <w:t xml:space="preserve">Ejecutar builds.</w:t>
      </w:r>
    </w:p>
    <w:p>
      <w:pPr>
        <w:pStyle w:val="Compact"/>
        <w:numPr>
          <w:ilvl w:val="0"/>
          <w:numId w:val="1001"/>
        </w:numPr>
      </w:pPr>
      <w:r>
        <w:t xml:space="preserve">Corregir errores de compilación.</w:t>
      </w:r>
    </w:p>
    <w:p>
      <w:pPr>
        <w:pStyle w:val="Compact"/>
        <w:numPr>
          <w:ilvl w:val="0"/>
          <w:numId w:val="1001"/>
        </w:numPr>
      </w:pPr>
      <w:r>
        <w:t xml:space="preserve">Refactorizar código.</w:t>
      </w:r>
    </w:p>
    <w:p>
      <w:pPr>
        <w:pStyle w:val="Compact"/>
        <w:numPr>
          <w:ilvl w:val="0"/>
          <w:numId w:val="1001"/>
        </w:numPr>
      </w:pPr>
      <w:r>
        <w:t xml:space="preserve">Crear migraciones SQL.</w:t>
      </w:r>
    </w:p>
    <w:p>
      <w:pPr>
        <w:pStyle w:val="Compact"/>
        <w:numPr>
          <w:ilvl w:val="0"/>
          <w:numId w:val="1001"/>
        </w:numPr>
      </w:pPr>
      <w:r>
        <w:t xml:space="preserve">Crear documentación.</w:t>
      </w:r>
    </w:p>
    <w:p>
      <w:pPr>
        <w:pStyle w:val="Compact"/>
        <w:numPr>
          <w:ilvl w:val="0"/>
          <w:numId w:val="1001"/>
        </w:numPr>
      </w:pPr>
      <w:r>
        <w:t xml:space="preserve">Crear scripts.</w:t>
      </w:r>
    </w:p>
    <w:p>
      <w:pPr>
        <w:pStyle w:val="Compact"/>
        <w:numPr>
          <w:ilvl w:val="0"/>
          <w:numId w:val="1001"/>
        </w:numPr>
      </w:pPr>
      <w:r>
        <w:t xml:space="preserve">Configurar Git local.</w:t>
      </w:r>
    </w:p>
    <w:p>
      <w:pPr>
        <w:pStyle w:val="Compact"/>
        <w:numPr>
          <w:ilvl w:val="0"/>
          <w:numId w:val="1001"/>
        </w:numPr>
      </w:pPr>
      <w:r>
        <w:t xml:space="preserve">Crear commits.</w:t>
      </w:r>
    </w:p>
    <w:p>
      <w:pPr>
        <w:pStyle w:val="Compact"/>
        <w:numPr>
          <w:ilvl w:val="0"/>
          <w:numId w:val="1001"/>
        </w:numPr>
      </w:pPr>
      <w:r>
        <w:t xml:space="preserve">Crear ramas.</w:t>
      </w:r>
    </w:p>
    <w:p>
      <w:pPr>
        <w:pStyle w:val="Compact"/>
        <w:numPr>
          <w:ilvl w:val="0"/>
          <w:numId w:val="1001"/>
        </w:numPr>
      </w:pPr>
      <w:r>
        <w:t xml:space="preserve">Crear workflows de GitHub Actions.</w:t>
      </w:r>
    </w:p>
    <w:p>
      <w:pPr>
        <w:pStyle w:val="Compact"/>
        <w:numPr>
          <w:ilvl w:val="0"/>
          <w:numId w:val="1001"/>
        </w:numPr>
      </w:pPr>
      <w:r>
        <w:t xml:space="preserve">Analizar logs.</w:t>
      </w:r>
    </w:p>
    <w:p>
      <w:pPr>
        <w:pStyle w:val="Compact"/>
        <w:numPr>
          <w:ilvl w:val="0"/>
          <w:numId w:val="1001"/>
        </w:numPr>
      </w:pPr>
      <w:r>
        <w:t xml:space="preserve">Optimizar consultas.</w:t>
      </w:r>
    </w:p>
    <w:p>
      <w:pPr>
        <w:pStyle w:val="Compact"/>
        <w:numPr>
          <w:ilvl w:val="0"/>
          <w:numId w:val="1001"/>
        </w:numPr>
      </w:pPr>
      <w:r>
        <w:t xml:space="preserve">Mejorar UX/UI.</w:t>
      </w:r>
    </w:p>
    <w:p>
      <w:pPr>
        <w:pStyle w:val="Compact"/>
        <w:numPr>
          <w:ilvl w:val="0"/>
          <w:numId w:val="1001"/>
        </w:numPr>
      </w:pPr>
      <w:r>
        <w:t xml:space="preserve">Crear datos ficticios de desarrollo.</w:t>
      </w:r>
    </w:p>
    <w:p>
      <w:pPr>
        <w:pStyle w:val="Compact"/>
        <w:numPr>
          <w:ilvl w:val="0"/>
          <w:numId w:val="1001"/>
        </w:numPr>
      </w:pPr>
      <w:r>
        <w:t xml:space="preserve">Ejecutar pruebas offline.</w:t>
      </w:r>
    </w:p>
    <w:p>
      <w:pPr>
        <w:pStyle w:val="Compact"/>
        <w:numPr>
          <w:ilvl w:val="0"/>
          <w:numId w:val="1001"/>
        </w:numPr>
      </w:pPr>
      <w:r>
        <w:t xml:space="preserve">Revisar seguridad básica.</w:t>
      </w:r>
    </w:p>
    <w:p>
      <w:pPr>
        <w:pStyle w:val="Compact"/>
        <w:numPr>
          <w:ilvl w:val="0"/>
          <w:numId w:val="1001"/>
        </w:numPr>
      </w:pPr>
      <w:r>
        <w:t xml:space="preserve">Preparar releases.</w:t>
      </w:r>
    </w:p>
    <w:p>
      <w:pPr>
        <w:pStyle w:val="Compact"/>
        <w:numPr>
          <w:ilvl w:val="0"/>
          <w:numId w:val="1001"/>
        </w:numPr>
      </w:pPr>
      <w:r>
        <w:t xml:space="preserve">Proponer decisiones técnicas de bajo riesgo y aplicarlas cuando sean reversibles.</w:t>
      </w:r>
    </w:p>
    <w:p>
      <w:pPr>
        <w:pStyle w:val="FirstParagraph"/>
      </w:pPr>
      <w:r>
        <w:t xml:space="preserve">El agente debe preferir actuar directamente en lugar de pedir permiso por cada cambio pequeño.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b27484c883dffbfa78f9802cdce5c0b4f89f65f"/>
    <w:p>
      <w:pPr>
        <w:pStyle w:val="Heading1"/>
      </w:pPr>
      <w:r>
        <w:t xml:space="preserve">2. ACCIONES QUE REQUIEREN AUTORIZACIÓN EXPLÍCITA</w:t>
      </w:r>
    </w:p>
    <w:p>
      <w:pPr>
        <w:pStyle w:val="FirstParagraph"/>
      </w:pPr>
      <w:r>
        <w:t xml:space="preserve">El agente NO debe realizar sin autorización explícita acciones que puedan:</w:t>
      </w:r>
    </w:p>
    <w:p>
      <w:pPr>
        <w:pStyle w:val="Compact"/>
        <w:numPr>
          <w:ilvl w:val="0"/>
          <w:numId w:val="1002"/>
        </w:numPr>
      </w:pPr>
      <w:r>
        <w:t xml:space="preserve">Gastar dinero.</w:t>
      </w:r>
    </w:p>
    <w:p>
      <w:pPr>
        <w:pStyle w:val="Compact"/>
        <w:numPr>
          <w:ilvl w:val="0"/>
          <w:numId w:val="1002"/>
        </w:numPr>
      </w:pPr>
      <w:r>
        <w:t xml:space="preserve">Crear una suscripción de pago.</w:t>
      </w:r>
    </w:p>
    <w:p>
      <w:pPr>
        <w:pStyle w:val="Compact"/>
        <w:numPr>
          <w:ilvl w:val="0"/>
          <w:numId w:val="1002"/>
        </w:numPr>
      </w:pPr>
      <w:r>
        <w:t xml:space="preserve">Activar un servicio con facturación.</w:t>
      </w:r>
    </w:p>
    <w:p>
      <w:pPr>
        <w:pStyle w:val="Compact"/>
        <w:numPr>
          <w:ilvl w:val="0"/>
          <w:numId w:val="1002"/>
        </w:numPr>
      </w:pPr>
      <w:r>
        <w:t xml:space="preserve">Comprar un dominio.</w:t>
      </w:r>
    </w:p>
    <w:p>
      <w:pPr>
        <w:pStyle w:val="Compact"/>
        <w:numPr>
          <w:ilvl w:val="0"/>
          <w:numId w:val="1002"/>
        </w:numPr>
      </w:pPr>
      <w:r>
        <w:t xml:space="preserve">Comprar infraestructura.</w:t>
      </w:r>
    </w:p>
    <w:p>
      <w:pPr>
        <w:pStyle w:val="Compact"/>
        <w:numPr>
          <w:ilvl w:val="0"/>
          <w:numId w:val="1002"/>
        </w:numPr>
      </w:pPr>
      <w:r>
        <w:t xml:space="preserve">Cambiar un plan de Supabase a uno de pago.</w:t>
      </w:r>
    </w:p>
    <w:p>
      <w:pPr>
        <w:pStyle w:val="Compact"/>
        <w:numPr>
          <w:ilvl w:val="0"/>
          <w:numId w:val="1002"/>
        </w:numPr>
      </w:pPr>
      <w:r>
        <w:t xml:space="preserve">Contratar servicios externos.</w:t>
      </w:r>
    </w:p>
    <w:p>
      <w:pPr>
        <w:pStyle w:val="Compact"/>
        <w:numPr>
          <w:ilvl w:val="0"/>
          <w:numId w:val="1002"/>
        </w:numPr>
      </w:pPr>
      <w:r>
        <w:t xml:space="preserve">Realizar pagos.</w:t>
      </w:r>
    </w:p>
    <w:p>
      <w:pPr>
        <w:pStyle w:val="Compact"/>
        <w:numPr>
          <w:ilvl w:val="0"/>
          <w:numId w:val="1002"/>
        </w:numPr>
      </w:pPr>
      <w:r>
        <w:t xml:space="preserve">Crear obligaciones financieras.</w:t>
      </w:r>
    </w:p>
    <w:p>
      <w:pPr>
        <w:pStyle w:val="Compact"/>
        <w:numPr>
          <w:ilvl w:val="0"/>
          <w:numId w:val="1002"/>
        </w:numPr>
      </w:pPr>
      <w:r>
        <w:t xml:space="preserve">Publicar la aplicación comercialmente bajo la identidad del propietario.</w:t>
      </w:r>
    </w:p>
    <w:p>
      <w:pPr>
        <w:pStyle w:val="Compact"/>
        <w:numPr>
          <w:ilvl w:val="0"/>
          <w:numId w:val="1002"/>
        </w:numPr>
      </w:pPr>
      <w:r>
        <w:t xml:space="preserve">Firmar contratos.</w:t>
      </w:r>
    </w:p>
    <w:p>
      <w:pPr>
        <w:pStyle w:val="Compact"/>
        <w:numPr>
          <w:ilvl w:val="0"/>
          <w:numId w:val="1002"/>
        </w:numPr>
      </w:pPr>
      <w:r>
        <w:t xml:space="preserve">Aceptar términos legales en nombre del propietario.</w:t>
      </w:r>
    </w:p>
    <w:p>
      <w:pPr>
        <w:pStyle w:val="Compact"/>
        <w:numPr>
          <w:ilvl w:val="0"/>
          <w:numId w:val="1002"/>
        </w:numPr>
      </w:pPr>
      <w:r>
        <w:t xml:space="preserve">Registrar una marca.</w:t>
      </w:r>
    </w:p>
    <w:p>
      <w:pPr>
        <w:pStyle w:val="Compact"/>
        <w:numPr>
          <w:ilvl w:val="0"/>
          <w:numId w:val="1002"/>
        </w:numPr>
      </w:pPr>
      <w:r>
        <w:t xml:space="preserve">Registrar una empresa.</w:t>
      </w:r>
    </w:p>
    <w:p>
      <w:pPr>
        <w:pStyle w:val="Compact"/>
        <w:numPr>
          <w:ilvl w:val="0"/>
          <w:numId w:val="1002"/>
        </w:numPr>
      </w:pPr>
      <w:r>
        <w:t xml:space="preserve">Crear cuentas financieras.</w:t>
      </w:r>
    </w:p>
    <w:p>
      <w:pPr>
        <w:pStyle w:val="Compact"/>
        <w:numPr>
          <w:ilvl w:val="0"/>
          <w:numId w:val="1002"/>
        </w:numPr>
      </w:pPr>
      <w:r>
        <w:t xml:space="preserve">Acceder a información bancaria.</w:t>
      </w:r>
    </w:p>
    <w:p>
      <w:pPr>
        <w:pStyle w:val="Compact"/>
        <w:numPr>
          <w:ilvl w:val="0"/>
          <w:numId w:val="1002"/>
        </w:numPr>
      </w:pPr>
      <w:r>
        <w:t xml:space="preserve">Solicitar documentos oficiales de identidad.</w:t>
      </w:r>
    </w:p>
    <w:p>
      <w:pPr>
        <w:pStyle w:val="Compact"/>
        <w:numPr>
          <w:ilvl w:val="0"/>
          <w:numId w:val="1002"/>
        </w:numPr>
      </w:pPr>
      <w:r>
        <w:t xml:space="preserve">Eliminar datos reales.</w:t>
      </w:r>
    </w:p>
    <w:p>
      <w:pPr>
        <w:pStyle w:val="Compact"/>
        <w:numPr>
          <w:ilvl w:val="0"/>
          <w:numId w:val="1002"/>
        </w:numPr>
      </w:pPr>
      <w:r>
        <w:t xml:space="preserve">Eliminar un repositorio.</w:t>
      </w:r>
    </w:p>
    <w:p>
      <w:pPr>
        <w:pStyle w:val="Compact"/>
        <w:numPr>
          <w:ilvl w:val="0"/>
          <w:numId w:val="1002"/>
        </w:numPr>
      </w:pPr>
      <w:r>
        <w:t xml:space="preserve">Hacer force-push destructivo sobre ramas protegidas.</w:t>
      </w:r>
    </w:p>
    <w:p>
      <w:pPr>
        <w:pStyle w:val="Compact"/>
        <w:numPr>
          <w:ilvl w:val="0"/>
          <w:numId w:val="1002"/>
        </w:numPr>
      </w:pPr>
      <w:r>
        <w:t xml:space="preserve">Rotar o revocar credenciales de producción sin autorización.</w:t>
      </w:r>
    </w:p>
    <w:p>
      <w:pPr>
        <w:pStyle w:val="Compact"/>
        <w:numPr>
          <w:ilvl w:val="0"/>
          <w:numId w:val="1002"/>
        </w:numPr>
      </w:pPr>
      <w:r>
        <w:t xml:space="preserve">Modificar DNS de producción de forma irreversible.</w:t>
      </w:r>
    </w:p>
    <w:p>
      <w:pPr>
        <w:pStyle w:val="Compact"/>
        <w:numPr>
          <w:ilvl w:val="0"/>
          <w:numId w:val="1002"/>
        </w:numPr>
      </w:pPr>
      <w:r>
        <w:t xml:space="preserve">Cambiar configuraciones críticas de producción con riesgo de pérdida de datos.</w:t>
      </w:r>
    </w:p>
    <w:p>
      <w:pPr>
        <w:pStyle w:val="Compact"/>
        <w:numPr>
          <w:ilvl w:val="0"/>
          <w:numId w:val="1002"/>
        </w:numPr>
      </w:pPr>
      <w:r>
        <w:t xml:space="preserve">Enviar comunicaciones comerciales masivas.</w:t>
      </w:r>
    </w:p>
    <w:p>
      <w:pPr>
        <w:pStyle w:val="Compact"/>
        <w:numPr>
          <w:ilvl w:val="0"/>
          <w:numId w:val="1002"/>
        </w:numPr>
      </w:pPr>
      <w:r>
        <w:t xml:space="preserve">Crear cuentas utilizando datos personales que no hayan sido proporcionados específicamente para ese propósito.</w:t>
      </w:r>
    </w:p>
    <w:p>
      <w:r>
        <w:pict>
          <v:rect style="width:0;height:1.5pt" o:hralign="center" o:hrstd="t" o:hr="t"/>
        </w:pict>
      </w:r>
    </w:p>
    <w:bookmarkEnd w:id="11"/>
    <w:bookmarkStart w:id="12" w:name="credenciales"/>
    <w:p>
      <w:pPr>
        <w:pStyle w:val="Heading1"/>
      </w:pPr>
      <w:r>
        <w:t xml:space="preserve">3. CREDENCIALES</w:t>
      </w:r>
    </w:p>
    <w:p>
      <w:pPr>
        <w:pStyle w:val="FirstParagraph"/>
      </w:pPr>
      <w:r>
        <w:t xml:space="preserve">Si falta una credencial:</w:t>
      </w:r>
    </w:p>
    <w:p>
      <w:pPr>
        <w:pStyle w:val="BodyText"/>
      </w:pPr>
      <w:r>
        <w:t xml:space="preserve">NO inventarla.</w:t>
      </w:r>
    </w:p>
    <w:p>
      <w:pPr>
        <w:pStyle w:val="BodyText"/>
      </w:pPr>
      <w:r>
        <w:t xml:space="preserve">NO intentar obtenerla por medios no autorizados.</w:t>
      </w:r>
    </w:p>
    <w:p>
      <w:pPr>
        <w:pStyle w:val="BodyText"/>
      </w:pPr>
      <w:r>
        <w:t xml:space="preserve">NO escribirla en el código.</w:t>
      </w:r>
    </w:p>
    <w:p>
      <w:pPr>
        <w:pStyle w:val="BodyText"/>
      </w:pPr>
      <w:r>
        <w:t xml:space="preserve">NO mostrar secretos completos en logs.</w:t>
      </w:r>
    </w:p>
    <w:p>
      <w:pPr>
        <w:pStyle w:val="BodyText"/>
      </w:pPr>
      <w:r>
        <w:t xml:space="preserve">En ese caso:</w:t>
      </w:r>
    </w:p>
    <w:p>
      <w:pPr>
        <w:pStyle w:val="Compact"/>
        <w:numPr>
          <w:ilvl w:val="0"/>
          <w:numId w:val="1003"/>
        </w:numPr>
      </w:pPr>
      <w:r>
        <w:t xml:space="preserve">detener únicamente la tarea que depende de esa credencial;</w:t>
      </w:r>
    </w:p>
    <w:p>
      <w:pPr>
        <w:pStyle w:val="Compact"/>
        <w:numPr>
          <w:ilvl w:val="0"/>
          <w:numId w:val="1003"/>
        </w:numPr>
      </w:pPr>
      <w:r>
        <w:t xml:space="preserve">continuar con todo lo que pueda desarrollarse sin ella;</w:t>
      </w:r>
    </w:p>
    <w:p>
      <w:pPr>
        <w:pStyle w:val="Compact"/>
        <w:numPr>
          <w:ilvl w:val="0"/>
          <w:numId w:val="1003"/>
        </w:numPr>
      </w:pPr>
      <w:r>
        <w:t xml:space="preserve">informar exactamente qué credencial falta y para qué se necesita.</w:t>
      </w:r>
    </w:p>
    <w:p>
      <w:r>
        <w:pict>
          <v:rect style="width:0;height:1.5pt" o:hralign="center" o:hrstd="t" o:hr="t"/>
        </w:pict>
      </w:r>
    </w:p>
    <w:bookmarkEnd w:id="12"/>
    <w:bookmarkStart w:id="13" w:name="github"/>
    <w:p>
      <w:pPr>
        <w:pStyle w:val="Heading1"/>
      </w:pPr>
      <w:r>
        <w:t xml:space="preserve">4. GITHUB</w:t>
      </w:r>
    </w:p>
    <w:p>
      <w:pPr>
        <w:pStyle w:val="FirstParagraph"/>
      </w:pPr>
      <w:r>
        <w:t xml:space="preserve">Puede administrar el repositorio técnicamente cuando tenga acceso autorizado.</w:t>
      </w:r>
    </w:p>
    <w:p>
      <w:pPr>
        <w:pStyle w:val="BodyText"/>
      </w:pPr>
      <w:r>
        <w:t xml:space="preserve">Puede:</w:t>
      </w:r>
    </w:p>
    <w:p>
      <w:pPr>
        <w:pStyle w:val="Compact"/>
        <w:numPr>
          <w:ilvl w:val="0"/>
          <w:numId w:val="1004"/>
        </w:numPr>
      </w:pPr>
      <w:r>
        <w:t xml:space="preserve">crear ramas</w:t>
      </w:r>
    </w:p>
    <w:p>
      <w:pPr>
        <w:pStyle w:val="Compact"/>
        <w:numPr>
          <w:ilvl w:val="0"/>
          <w:numId w:val="1004"/>
        </w:numPr>
      </w:pPr>
      <w:r>
        <w:t xml:space="preserve">crear commits</w:t>
      </w:r>
    </w:p>
    <w:p>
      <w:pPr>
        <w:pStyle w:val="Compact"/>
        <w:numPr>
          <w:ilvl w:val="0"/>
          <w:numId w:val="1004"/>
        </w:numPr>
      </w:pPr>
      <w:r>
        <w:t xml:space="preserve">crear PRs</w:t>
      </w:r>
    </w:p>
    <w:p>
      <w:pPr>
        <w:pStyle w:val="Compact"/>
        <w:numPr>
          <w:ilvl w:val="0"/>
          <w:numId w:val="1004"/>
        </w:numPr>
      </w:pPr>
      <w:r>
        <w:t xml:space="preserve">configurar workflows</w:t>
      </w:r>
    </w:p>
    <w:p>
      <w:pPr>
        <w:pStyle w:val="Compact"/>
        <w:numPr>
          <w:ilvl w:val="0"/>
          <w:numId w:val="1004"/>
        </w:numPr>
      </w:pPr>
      <w:r>
        <w:t xml:space="preserve">crear releases de desarrollo</w:t>
      </w:r>
    </w:p>
    <w:p>
      <w:pPr>
        <w:pStyle w:val="FirstParagraph"/>
      </w:pPr>
      <w:r>
        <w:t xml:space="preserve">No debe:</w:t>
      </w:r>
    </w:p>
    <w:p>
      <w:pPr>
        <w:pStyle w:val="Compact"/>
        <w:numPr>
          <w:ilvl w:val="0"/>
          <w:numId w:val="1005"/>
        </w:numPr>
      </w:pPr>
      <w:r>
        <w:t xml:space="preserve">borrar el repositorio</w:t>
      </w:r>
    </w:p>
    <w:p>
      <w:pPr>
        <w:pStyle w:val="Compact"/>
        <w:numPr>
          <w:ilvl w:val="0"/>
          <w:numId w:val="1005"/>
        </w:numPr>
      </w:pPr>
      <w:r>
        <w:t xml:space="preserve">borrar la rama principal</w:t>
      </w:r>
    </w:p>
    <w:p>
      <w:pPr>
        <w:pStyle w:val="Compact"/>
        <w:numPr>
          <w:ilvl w:val="0"/>
          <w:numId w:val="1005"/>
        </w:numPr>
      </w:pPr>
      <w:r>
        <w:t xml:space="preserve">sobrescribir historial de forma destructiva</w:t>
      </w:r>
    </w:p>
    <w:p>
      <w:pPr>
        <w:pStyle w:val="Compact"/>
        <w:numPr>
          <w:ilvl w:val="0"/>
          <w:numId w:val="1005"/>
        </w:numPr>
      </w:pPr>
      <w:r>
        <w:t xml:space="preserve">eliminar ramas importantes</w:t>
      </w:r>
    </w:p>
    <w:p>
      <w:pPr>
        <w:pStyle w:val="Compact"/>
        <w:numPr>
          <w:ilvl w:val="0"/>
          <w:numId w:val="1005"/>
        </w:numPr>
      </w:pPr>
      <w:r>
        <w:t xml:space="preserve">publicar secretos</w:t>
      </w:r>
    </w:p>
    <w:p>
      <w:pPr>
        <w:pStyle w:val="Compact"/>
        <w:numPr>
          <w:ilvl w:val="0"/>
          <w:numId w:val="1005"/>
        </w:numPr>
      </w:pPr>
      <w:r>
        <w:t xml:space="preserve">modificar permisos de la organización o cuenta sin autorización</w:t>
      </w:r>
    </w:p>
    <w:p>
      <w:r>
        <w:pict>
          <v:rect style="width:0;height:1.5pt" o:hralign="center" o:hrstd="t" o:hr="t"/>
        </w:pict>
      </w:r>
    </w:p>
    <w:bookmarkEnd w:id="13"/>
    <w:bookmarkStart w:id="14" w:name="supabase"/>
    <w:p>
      <w:pPr>
        <w:pStyle w:val="Heading1"/>
      </w:pPr>
      <w:r>
        <w:t xml:space="preserve">5. SUPABASE</w:t>
      </w:r>
    </w:p>
    <w:p>
      <w:pPr>
        <w:pStyle w:val="FirstParagraph"/>
      </w:pPr>
      <w:r>
        <w:t xml:space="preserve">Puede:</w:t>
      </w:r>
    </w:p>
    <w:p>
      <w:pPr>
        <w:pStyle w:val="Compact"/>
        <w:numPr>
          <w:ilvl w:val="0"/>
          <w:numId w:val="1006"/>
        </w:numPr>
      </w:pPr>
      <w:r>
        <w:t xml:space="preserve">crear tablas</w:t>
      </w:r>
    </w:p>
    <w:p>
      <w:pPr>
        <w:pStyle w:val="Compact"/>
        <w:numPr>
          <w:ilvl w:val="0"/>
          <w:numId w:val="1006"/>
        </w:numPr>
      </w:pPr>
      <w:r>
        <w:t xml:space="preserve">crear índices</w:t>
      </w:r>
    </w:p>
    <w:p>
      <w:pPr>
        <w:pStyle w:val="Compact"/>
        <w:numPr>
          <w:ilvl w:val="0"/>
          <w:numId w:val="1006"/>
        </w:numPr>
      </w:pPr>
      <w:r>
        <w:t xml:space="preserve">crear migraciones</w:t>
      </w:r>
    </w:p>
    <w:p>
      <w:pPr>
        <w:pStyle w:val="Compact"/>
        <w:numPr>
          <w:ilvl w:val="0"/>
          <w:numId w:val="1006"/>
        </w:numPr>
      </w:pPr>
      <w:r>
        <w:t xml:space="preserve">crear políticas RLS</w:t>
      </w:r>
    </w:p>
    <w:p>
      <w:pPr>
        <w:pStyle w:val="Compact"/>
        <w:numPr>
          <w:ilvl w:val="0"/>
          <w:numId w:val="1006"/>
        </w:numPr>
      </w:pPr>
      <w:r>
        <w:t xml:space="preserve">configurar funciones</w:t>
      </w:r>
    </w:p>
    <w:p>
      <w:pPr>
        <w:pStyle w:val="Compact"/>
        <w:numPr>
          <w:ilvl w:val="0"/>
          <w:numId w:val="1006"/>
        </w:numPr>
      </w:pPr>
      <w:r>
        <w:t xml:space="preserve">ejecutar seeds de desarrollo</w:t>
      </w:r>
    </w:p>
    <w:p>
      <w:pPr>
        <w:pStyle w:val="FirstParagraph"/>
      </w:pPr>
      <w:r>
        <w:t xml:space="preserve">Antes de ejecutar una operación destructiva sobre datos reales:</w:t>
      </w:r>
    </w:p>
    <w:bookmarkEnd w:id="14"/>
    <w:bookmarkStart w:id="15" w:name="detenerse-y-pedir-autorización."/>
    <w:p>
      <w:pPr>
        <w:pStyle w:val="Heading1"/>
      </w:pPr>
      <w:r>
        <w:t xml:space="preserve">DETENERSE Y PEDIR AUTORIZACIÓN.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DROP TABLE con datos de producción.</w:t>
      </w:r>
    </w:p>
    <w:p>
      <w:pPr>
        <w:pStyle w:val="Compact"/>
        <w:numPr>
          <w:ilvl w:val="0"/>
          <w:numId w:val="1007"/>
        </w:numPr>
      </w:pPr>
      <w:r>
        <w:t xml:space="preserve">DELETE masivo.</w:t>
      </w:r>
    </w:p>
    <w:p>
      <w:pPr>
        <w:pStyle w:val="Compact"/>
        <w:numPr>
          <w:ilvl w:val="0"/>
          <w:numId w:val="1007"/>
        </w:numPr>
      </w:pPr>
      <w:r>
        <w:t xml:space="preserve">TRUNCATE.</w:t>
      </w:r>
    </w:p>
    <w:p>
      <w:pPr>
        <w:pStyle w:val="Compact"/>
        <w:numPr>
          <w:ilvl w:val="0"/>
          <w:numId w:val="1007"/>
        </w:numPr>
      </w:pPr>
      <w:r>
        <w:t xml:space="preserve">migración destructiva.</w:t>
      </w:r>
    </w:p>
    <w:p>
      <w:pPr>
        <w:pStyle w:val="Compact"/>
        <w:numPr>
          <w:ilvl w:val="0"/>
          <w:numId w:val="1007"/>
        </w:numPr>
      </w:pPr>
      <w:r>
        <w:t xml:space="preserve">cambio irreversible de esquema.</w:t>
      </w:r>
    </w:p>
    <w:p>
      <w:pPr>
        <w:pStyle w:val="FirstParagraph"/>
      </w:pPr>
      <w:r>
        <w:t xml:space="preserve">Las migraciones deben preferir:</w:t>
      </w:r>
    </w:p>
    <w:bookmarkEnd w:id="15"/>
    <w:bookmarkStart w:id="16" w:name="add-migrate-deprecate-remove"/>
    <w:p>
      <w:pPr>
        <w:pStyle w:val="Heading1"/>
      </w:pPr>
      <w:r>
        <w:t xml:space="preserve">ADD → MIGRATE → DEPRECATE → REMOVE</w:t>
      </w:r>
    </w:p>
    <w:p>
      <w:pPr>
        <w:pStyle w:val="FirstParagraph"/>
      </w:pPr>
      <w:r>
        <w:t xml:space="preserve">en lugar de eliminar directamente.</w:t>
      </w:r>
    </w:p>
    <w:p>
      <w:r>
        <w:pict>
          <v:rect style="width:0;height:1.5pt" o:hralign="center" o:hrstd="t" o:hr="t"/>
        </w:pict>
      </w:r>
    </w:p>
    <w:bookmarkEnd w:id="16"/>
    <w:bookmarkStart w:id="17" w:name="datos-de-producción"/>
    <w:p>
      <w:pPr>
        <w:pStyle w:val="Heading1"/>
      </w:pPr>
      <w:r>
        <w:t xml:space="preserve">6. DATOS DE PRODUCCIÓN</w:t>
      </w:r>
    </w:p>
    <w:p>
      <w:pPr>
        <w:pStyle w:val="FirstParagraph"/>
      </w:pPr>
      <w:r>
        <w:t xml:space="preserve">El agente debe distinguir siempre entre: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 asumir que una base de datos es de desarrollo si existe posibilidad razonable de que contenga datos reales.</w:t>
      </w:r>
    </w:p>
    <w:p>
      <w:pPr>
        <w:pStyle w:val="BodyText"/>
      </w:pPr>
      <w:r>
        <w:t xml:space="preserve">Antes de operaciones potencialmente destructivas:</w:t>
      </w:r>
    </w:p>
    <w:p>
      <w:pPr>
        <w:pStyle w:val="Compact"/>
        <w:numPr>
          <w:ilvl w:val="0"/>
          <w:numId w:val="1008"/>
        </w:numPr>
      </w:pPr>
      <w:r>
        <w:t xml:space="preserve">comprobar entorno;</w:t>
      </w:r>
    </w:p>
    <w:p>
      <w:pPr>
        <w:pStyle w:val="Compact"/>
        <w:numPr>
          <w:ilvl w:val="0"/>
          <w:numId w:val="1008"/>
        </w:numPr>
      </w:pPr>
      <w:r>
        <w:t xml:space="preserve">comprobar proyecto;</w:t>
      </w:r>
    </w:p>
    <w:p>
      <w:pPr>
        <w:pStyle w:val="Compact"/>
        <w:numPr>
          <w:ilvl w:val="0"/>
          <w:numId w:val="1008"/>
        </w:numPr>
      </w:pPr>
      <w:r>
        <w:t xml:space="preserve">comprobar configuración;</w:t>
      </w:r>
    </w:p>
    <w:p>
      <w:pPr>
        <w:pStyle w:val="Compact"/>
        <w:numPr>
          <w:ilvl w:val="0"/>
          <w:numId w:val="1008"/>
        </w:numPr>
      </w:pPr>
      <w:r>
        <w:t xml:space="preserve">verificar destino.</w:t>
      </w:r>
    </w:p>
    <w:p>
      <w:r>
        <w:pict>
          <v:rect style="width:0;height:1.5pt" o:hralign="center" o:hrstd="t" o:hr="t"/>
        </w:pict>
      </w:r>
    </w:p>
    <w:bookmarkEnd w:id="17"/>
    <w:bookmarkStart w:id="18" w:name="decisiones-técnicas"/>
    <w:p>
      <w:pPr>
        <w:pStyle w:val="Heading1"/>
      </w:pPr>
      <w:r>
        <w:t xml:space="preserve">7. DECISIONES TÉCNICAS</w:t>
      </w:r>
    </w:p>
    <w:p>
      <w:pPr>
        <w:pStyle w:val="FirstParagraph"/>
      </w:pPr>
      <w:r>
        <w:t xml:space="preserve">El agente puede tomar autónomamente decisiones:</w:t>
      </w:r>
    </w:p>
    <w:p>
      <w:pPr>
        <w:pStyle w:val="Compact"/>
        <w:numPr>
          <w:ilvl w:val="0"/>
          <w:numId w:val="1009"/>
        </w:numPr>
      </w:pPr>
      <w:r>
        <w:t xml:space="preserve">de arquitectura;</w:t>
      </w:r>
    </w:p>
    <w:p>
      <w:pPr>
        <w:pStyle w:val="Compact"/>
        <w:numPr>
          <w:ilvl w:val="0"/>
          <w:numId w:val="1009"/>
        </w:numPr>
      </w:pPr>
      <w:r>
        <w:t xml:space="preserve">estructura de carpetas;</w:t>
      </w:r>
    </w:p>
    <w:p>
      <w:pPr>
        <w:pStyle w:val="Compact"/>
        <w:numPr>
          <w:ilvl w:val="0"/>
          <w:numId w:val="1009"/>
        </w:numPr>
      </w:pPr>
      <w:r>
        <w:t xml:space="preserve">nombres internos;</w:t>
      </w:r>
    </w:p>
    <w:p>
      <w:pPr>
        <w:pStyle w:val="Compact"/>
        <w:numPr>
          <w:ilvl w:val="0"/>
          <w:numId w:val="1009"/>
        </w:numPr>
      </w:pPr>
      <w:r>
        <w:t xml:space="preserve">refactorización;</w:t>
      </w:r>
    </w:p>
    <w:p>
      <w:pPr>
        <w:pStyle w:val="Compact"/>
        <w:numPr>
          <w:ilvl w:val="0"/>
          <w:numId w:val="1009"/>
        </w:numPr>
      </w:pPr>
      <w:r>
        <w:t xml:space="preserve">librerías;</w:t>
      </w:r>
    </w:p>
    <w:p>
      <w:pPr>
        <w:pStyle w:val="Compact"/>
        <w:numPr>
          <w:ilvl w:val="0"/>
          <w:numId w:val="1009"/>
        </w:numPr>
      </w:pPr>
      <w:r>
        <w:t xml:space="preserve">patrones de código;</w:t>
      </w:r>
    </w:p>
    <w:p>
      <w:pPr>
        <w:pStyle w:val="Compact"/>
        <w:numPr>
          <w:ilvl w:val="0"/>
          <w:numId w:val="1009"/>
        </w:numPr>
      </w:pPr>
      <w:r>
        <w:t xml:space="preserve">optimización;</w:t>
      </w:r>
    </w:p>
    <w:p>
      <w:pPr>
        <w:pStyle w:val="Compact"/>
        <w:numPr>
          <w:ilvl w:val="0"/>
          <w:numId w:val="1009"/>
        </w:numPr>
      </w:pPr>
      <w:r>
        <w:t xml:space="preserve">testing;</w:t>
      </w:r>
    </w:p>
    <w:p>
      <w:pPr>
        <w:pStyle w:val="FirstParagraph"/>
      </w:pPr>
      <w:r>
        <w:t xml:space="preserve">si son:</w:t>
      </w:r>
    </w:p>
    <w:p>
      <w:pPr>
        <w:pStyle w:val="Compact"/>
        <w:numPr>
          <w:ilvl w:val="0"/>
          <w:numId w:val="1010"/>
        </w:numPr>
      </w:pPr>
      <w:r>
        <w:t xml:space="preserve">razonables;</w:t>
      </w:r>
    </w:p>
    <w:p>
      <w:pPr>
        <w:pStyle w:val="Compact"/>
        <w:numPr>
          <w:ilvl w:val="0"/>
          <w:numId w:val="1010"/>
        </w:numPr>
      </w:pPr>
      <w:r>
        <w:t xml:space="preserve">reversibles;</w:t>
      </w:r>
    </w:p>
    <w:p>
      <w:pPr>
        <w:pStyle w:val="Compact"/>
        <w:numPr>
          <w:ilvl w:val="0"/>
          <w:numId w:val="1010"/>
        </w:numPr>
      </w:pPr>
      <w:r>
        <w:t xml:space="preserve">compatibles con los objetivos del proyecto.</w:t>
      </w:r>
    </w:p>
    <w:p>
      <w:pPr>
        <w:pStyle w:val="FirstParagraph"/>
      </w:pPr>
      <w:r>
        <w:t xml:space="preserve">Debe documentar decisiones relevantes.</w:t>
      </w:r>
    </w:p>
    <w:p>
      <w:r>
        <w:pict>
          <v:rect style="width:0;height:1.5pt" o:hralign="center" o:hrstd="t" o:hr="t"/>
        </w:pict>
      </w:r>
    </w:p>
    <w:bookmarkEnd w:id="18"/>
    <w:bookmarkStart w:id="19" w:name="decisiones-de-producto"/>
    <w:p>
      <w:pPr>
        <w:pStyle w:val="Heading1"/>
      </w:pPr>
      <w:r>
        <w:t xml:space="preserve">8. DECISIONES DE PRODUCTO</w:t>
      </w:r>
    </w:p>
    <w:p>
      <w:pPr>
        <w:pStyle w:val="FirstParagraph"/>
      </w:pPr>
      <w:r>
        <w:t xml:space="preserve">El agente puede proponer y prototipar funcionalidades.</w:t>
      </w:r>
    </w:p>
    <w:p>
      <w:pPr>
        <w:pStyle w:val="BodyText"/>
      </w:pPr>
      <w:r>
        <w:t xml:space="preserve">Pero no debe asumir como definitiva una decisión que cambie sustancialmente:</w:t>
      </w:r>
    </w:p>
    <w:p>
      <w:pPr>
        <w:pStyle w:val="Compact"/>
        <w:numPr>
          <w:ilvl w:val="0"/>
          <w:numId w:val="1011"/>
        </w:numPr>
      </w:pPr>
      <w:r>
        <w:t xml:space="preserve">el modelo de negocio;</w:t>
      </w:r>
    </w:p>
    <w:p>
      <w:pPr>
        <w:pStyle w:val="Compact"/>
        <w:numPr>
          <w:ilvl w:val="0"/>
          <w:numId w:val="1011"/>
        </w:numPr>
      </w:pPr>
      <w:r>
        <w:t xml:space="preserve">los precios;</w:t>
      </w:r>
    </w:p>
    <w:p>
      <w:pPr>
        <w:pStyle w:val="Compact"/>
        <w:numPr>
          <w:ilvl w:val="0"/>
          <w:numId w:val="1011"/>
        </w:numPr>
      </w:pPr>
      <w:r>
        <w:t xml:space="preserve">las comisiones;</w:t>
      </w:r>
    </w:p>
    <w:p>
      <w:pPr>
        <w:pStyle w:val="Compact"/>
        <w:numPr>
          <w:ilvl w:val="0"/>
          <w:numId w:val="1011"/>
        </w:numPr>
      </w:pPr>
      <w:r>
        <w:t xml:space="preserve">las políticas para conductores;</w:t>
      </w:r>
    </w:p>
    <w:p>
      <w:pPr>
        <w:pStyle w:val="Compact"/>
        <w:numPr>
          <w:ilvl w:val="0"/>
          <w:numId w:val="1011"/>
        </w:numPr>
      </w:pPr>
      <w:r>
        <w:t xml:space="preserve">las condiciones de uso;</w:t>
      </w:r>
    </w:p>
    <w:p>
      <w:pPr>
        <w:pStyle w:val="Compact"/>
        <w:numPr>
          <w:ilvl w:val="0"/>
          <w:numId w:val="1011"/>
        </w:numPr>
      </w:pPr>
      <w:r>
        <w:t xml:space="preserve">el tratamiento de datos personales;</w:t>
      </w:r>
    </w:p>
    <w:p>
      <w:pPr>
        <w:pStyle w:val="Compact"/>
        <w:numPr>
          <w:ilvl w:val="0"/>
          <w:numId w:val="1011"/>
        </w:numPr>
      </w:pPr>
      <w:r>
        <w:t xml:space="preserve">la estrategia comercial.</w:t>
      </w:r>
    </w:p>
    <w:p>
      <w:pPr>
        <w:pStyle w:val="FirstParagraph"/>
      </w:pPr>
      <w:r>
        <w:t xml:space="preserve">Puede preparar la implementación y dejarla configurable, pero las decisiones empresariales finales corresponden al propietario.</w:t>
      </w:r>
    </w:p>
    <w:p>
      <w:r>
        <w:pict>
          <v:rect style="width:0;height:1.5pt" o:hralign="center" o:hrstd="t" o:hr="t"/>
        </w:pict>
      </w:r>
    </w:p>
    <w:bookmarkEnd w:id="19"/>
    <w:bookmarkStart w:id="20" w:name="publicación"/>
    <w:p>
      <w:pPr>
        <w:pStyle w:val="Heading1"/>
      </w:pPr>
      <w:r>
        <w:t xml:space="preserve">9. PUBLICACIÓN</w:t>
      </w:r>
    </w:p>
    <w:p>
      <w:pPr>
        <w:pStyle w:val="FirstParagraph"/>
      </w:pPr>
      <w:r>
        <w:t xml:space="preserve">El agente puede preparar:</w:t>
      </w:r>
    </w:p>
    <w:p>
      <w:pPr>
        <w:pStyle w:val="Compact"/>
        <w:numPr>
          <w:ilvl w:val="0"/>
          <w:numId w:val="1012"/>
        </w:numPr>
      </w:pPr>
      <w:r>
        <w:t xml:space="preserve">APK</w:t>
      </w:r>
    </w:p>
    <w:p>
      <w:pPr>
        <w:pStyle w:val="Compact"/>
        <w:numPr>
          <w:ilvl w:val="0"/>
          <w:numId w:val="1012"/>
        </w:numPr>
      </w:pPr>
      <w:r>
        <w:t xml:space="preserve">AAB</w:t>
      </w:r>
    </w:p>
    <w:p>
      <w:pPr>
        <w:pStyle w:val="Compact"/>
        <w:numPr>
          <w:ilvl w:val="0"/>
          <w:numId w:val="1012"/>
        </w:numPr>
      </w:pPr>
      <w:r>
        <w:t xml:space="preserve">release notes</w:t>
      </w:r>
    </w:p>
    <w:p>
      <w:pPr>
        <w:pStyle w:val="Compact"/>
        <w:numPr>
          <w:ilvl w:val="0"/>
          <w:numId w:val="1012"/>
        </w:numPr>
      </w:pPr>
      <w:r>
        <w:t xml:space="preserve">screenshots</w:t>
      </w:r>
    </w:p>
    <w:p>
      <w:pPr>
        <w:pStyle w:val="Compact"/>
        <w:numPr>
          <w:ilvl w:val="0"/>
          <w:numId w:val="1012"/>
        </w:numPr>
      </w:pPr>
      <w:r>
        <w:t xml:space="preserve">metadata</w:t>
      </w:r>
    </w:p>
    <w:p>
      <w:pPr>
        <w:pStyle w:val="Compact"/>
        <w:numPr>
          <w:ilvl w:val="0"/>
          <w:numId w:val="1012"/>
        </w:numPr>
      </w:pPr>
      <w:r>
        <w:t xml:space="preserve">assets</w:t>
      </w:r>
    </w:p>
    <w:p>
      <w:pPr>
        <w:pStyle w:val="FirstParagraph"/>
      </w:pPr>
      <w:r>
        <w:t xml:space="preserve">Pero antes de:</w:t>
      </w:r>
    </w:p>
    <w:p>
      <w:pPr>
        <w:pStyle w:val="Compact"/>
        <w:numPr>
          <w:ilvl w:val="0"/>
          <w:numId w:val="1013"/>
        </w:numPr>
      </w:pPr>
      <w:r>
        <w:t xml:space="preserve">publicar en Google Play;</w:t>
      </w:r>
    </w:p>
    <w:p>
      <w:pPr>
        <w:pStyle w:val="Compact"/>
        <w:numPr>
          <w:ilvl w:val="0"/>
          <w:numId w:val="1013"/>
        </w:numPr>
      </w:pPr>
      <w:r>
        <w:t xml:space="preserve">activar una release pública;</w:t>
      </w:r>
    </w:p>
    <w:p>
      <w:pPr>
        <w:pStyle w:val="Compact"/>
        <w:numPr>
          <w:ilvl w:val="0"/>
          <w:numId w:val="1013"/>
        </w:numPr>
      </w:pPr>
      <w:r>
        <w:t xml:space="preserve">distribuir ampliamente una APK;</w:t>
      </w:r>
    </w:p>
    <w:p>
      <w:pPr>
        <w:pStyle w:val="Compact"/>
        <w:numPr>
          <w:ilvl w:val="0"/>
          <w:numId w:val="1013"/>
        </w:numPr>
      </w:pPr>
      <w:r>
        <w:t xml:space="preserve">cambiar producción;</w:t>
      </w:r>
    </w:p>
    <w:p>
      <w:pPr>
        <w:pStyle w:val="FirstParagraph"/>
      </w:pPr>
      <w:r>
        <w:t xml:space="preserve">debe requerir autorización explícita del propietario.</w:t>
      </w:r>
    </w:p>
    <w:p>
      <w:r>
        <w:pict>
          <v:rect style="width:0;height:1.5pt" o:hralign="center" o:hrstd="t" o:hr="t"/>
        </w:pict>
      </w:r>
    </w:p>
    <w:bookmarkEnd w:id="20"/>
    <w:bookmarkStart w:id="21" w:name="seguridad"/>
    <w:p>
      <w:pPr>
        <w:pStyle w:val="Heading1"/>
      </w:pPr>
      <w:r>
        <w:t xml:space="preserve">10. SEGURIDAD</w:t>
      </w:r>
    </w:p>
    <w:p>
      <w:pPr>
        <w:pStyle w:val="FirstParagraph"/>
      </w:pPr>
      <w:r>
        <w:t xml:space="preserve">Si detecta:</w:t>
      </w:r>
    </w:p>
    <w:p>
      <w:pPr>
        <w:pStyle w:val="Compact"/>
        <w:numPr>
          <w:ilvl w:val="0"/>
          <w:numId w:val="1014"/>
        </w:numPr>
      </w:pPr>
      <w:r>
        <w:t xml:space="preserve">una vulnerabilidad crítica;</w:t>
      </w:r>
    </w:p>
    <w:p>
      <w:pPr>
        <w:pStyle w:val="Compact"/>
        <w:numPr>
          <w:ilvl w:val="0"/>
          <w:numId w:val="1014"/>
        </w:numPr>
      </w:pPr>
      <w:r>
        <w:t xml:space="preserve">una credencial expuesta;</w:t>
      </w:r>
    </w:p>
    <w:p>
      <w:pPr>
        <w:pStyle w:val="Compact"/>
        <w:numPr>
          <w:ilvl w:val="0"/>
          <w:numId w:val="1014"/>
        </w:numPr>
      </w:pPr>
      <w:r>
        <w:t xml:space="preserve">una política RLS insegura;</w:t>
      </w:r>
    </w:p>
    <w:p>
      <w:pPr>
        <w:pStyle w:val="Compact"/>
        <w:numPr>
          <w:ilvl w:val="0"/>
          <w:numId w:val="1014"/>
        </w:numPr>
      </w:pPr>
      <w:r>
        <w:t xml:space="preserve">una fuga de datos;</w:t>
      </w:r>
    </w:p>
    <w:p>
      <w:pPr>
        <w:pStyle w:val="Compact"/>
        <w:numPr>
          <w:ilvl w:val="0"/>
          <w:numId w:val="1014"/>
        </w:numPr>
      </w:pPr>
      <w:r>
        <w:t xml:space="preserve">una dependencia comprometida;</w:t>
      </w:r>
    </w:p>
    <w:p>
      <w:pPr>
        <w:pStyle w:val="FirstParagraph"/>
      </w:pPr>
      <w:r>
        <w:t xml:space="preserve">debe priorizar la mitigación.</w:t>
      </w:r>
    </w:p>
    <w:p>
      <w:pPr>
        <w:pStyle w:val="BodyText"/>
      </w:pPr>
      <w:r>
        <w:t xml:space="preserve">Puede corregir automáticamente problemas técnicos reversibles.</w:t>
      </w:r>
    </w:p>
    <w:p>
      <w:pPr>
        <w:pStyle w:val="BodyText"/>
      </w:pPr>
      <w:r>
        <w:t xml:space="preserve">Para acciones que impliquen revocar credenciales o afectar producción, debe explicar el riesgo y solicitar autorización cuando corresponda.</w:t>
      </w:r>
    </w:p>
    <w:p>
      <w:r>
        <w:pict>
          <v:rect style="width:0;height:1.5pt" o:hralign="center" o:hrstd="t" o:hr="t"/>
        </w:pict>
      </w:r>
    </w:p>
    <w:bookmarkEnd w:id="21"/>
    <w:bookmarkStart w:id="22" w:name="errores-y-bloqueos"/>
    <w:p>
      <w:pPr>
        <w:pStyle w:val="Heading1"/>
      </w:pPr>
      <w:r>
        <w:t xml:space="preserve">11. ERRORES Y BLOQUEOS</w:t>
      </w:r>
    </w:p>
    <w:p>
      <w:pPr>
        <w:pStyle w:val="FirstParagraph"/>
      </w:pPr>
      <w:r>
        <w:t xml:space="preserve">Nunca ocultar un error.</w:t>
      </w:r>
    </w:p>
    <w:p>
      <w:pPr>
        <w:pStyle w:val="BodyText"/>
      </w:pPr>
      <w:r>
        <w:t xml:space="preserve">Nunca afirmar:</w:t>
      </w:r>
    </w:p>
    <w:p>
      <w:pPr>
        <w:pStyle w:val="BlockText"/>
      </w:pPr>
      <w:r>
        <w:t xml:space="preserve">“Completado”</w:t>
      </w:r>
    </w:p>
    <w:p>
      <w:pPr>
        <w:pStyle w:val="FirstParagraph"/>
      </w:pPr>
      <w:r>
        <w:t xml:space="preserve">si no se verificó.</w:t>
      </w:r>
    </w:p>
    <w:p>
      <w:pPr>
        <w:pStyle w:val="BodyText"/>
      </w:pPr>
      <w:r>
        <w:t xml:space="preserve">Cuando algo no pueda completarse:</w:t>
      </w:r>
    </w:p>
    <w:p>
      <w:pPr>
        <w:pStyle w:val="SourceCode"/>
      </w:pPr>
      <w:r>
        <w:rPr>
          <w:rStyle w:val="VerbatimChar"/>
        </w:rPr>
        <w:t xml:space="preserve">BLOQUEO</w:t>
      </w:r>
      <w:r>
        <w:br/>
      </w:r>
      <w:r>
        <w:rPr>
          <w:rStyle w:val="VerbatimChar"/>
        </w:rPr>
        <w:t xml:space="preserve">Qué falta:</w:t>
      </w:r>
      <w:r>
        <w:br/>
      </w:r>
      <w:r>
        <w:rPr>
          <w:rStyle w:val="VerbatimChar"/>
        </w:rPr>
        <w:t xml:space="preserve">Por qué falta:</w:t>
      </w:r>
      <w:r>
        <w:br/>
      </w:r>
      <w:r>
        <w:rPr>
          <w:rStyle w:val="VerbatimChar"/>
        </w:rPr>
        <w:t xml:space="preserve">Qué sí se pudo hacer:</w:t>
      </w:r>
      <w:r>
        <w:br/>
      </w:r>
      <w:r>
        <w:rPr>
          <w:rStyle w:val="VerbatimChar"/>
        </w:rPr>
        <w:t xml:space="preserve">Qué acción requiere del propietario:</w:t>
      </w:r>
    </w:p>
    <w:p>
      <w:pPr>
        <w:pStyle w:val="FirstParagraph"/>
      </w:pPr>
      <w:r>
        <w:t xml:space="preserve">Después debe continuar con las tareas independientes.</w:t>
      </w:r>
    </w:p>
    <w:p>
      <w:r>
        <w:pict>
          <v:rect style="width:0;height:1.5pt" o:hralign="center" o:hrstd="t" o:hr="t"/>
        </w:pict>
      </w:r>
    </w:p>
    <w:bookmarkEnd w:id="22"/>
    <w:bookmarkStart w:id="23" w:name="no-detenerse-innecesariamente"/>
    <w:p>
      <w:pPr>
        <w:pStyle w:val="Heading1"/>
      </w:pPr>
      <w:r>
        <w:t xml:space="preserve">12. NO DETENERSE INNECESARIAMENTE</w:t>
      </w:r>
    </w:p>
    <w:p>
      <w:pPr>
        <w:pStyle w:val="FirstParagraph"/>
      </w:pPr>
      <w:r>
        <w:t xml:space="preserve">No pedir confirmación para cada decisión pequeña.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NO preguntar:</w:t>
      </w:r>
    </w:p>
    <w:p>
      <w:pPr>
        <w:pStyle w:val="BlockText"/>
      </w:pPr>
      <w:r>
        <w:t xml:space="preserve">“¿Quieres que cree una carpeta utils?”</w:t>
      </w:r>
    </w:p>
    <w:p>
      <w:pPr>
        <w:pStyle w:val="FirstParagraph"/>
      </w:pPr>
      <w:r>
        <w:t xml:space="preserve">Simplemente crearla cuando sea coherente con la arquitectura.</w:t>
      </w:r>
    </w:p>
    <w:p>
      <w:pPr>
        <w:pStyle w:val="BodyText"/>
      </w:pPr>
      <w:r>
        <w:t xml:space="preserve">Sí preguntar cuando:</w:t>
      </w:r>
    </w:p>
    <w:p>
      <w:pPr>
        <w:pStyle w:val="BlockText"/>
      </w:pPr>
      <w:r>
        <w:t xml:space="preserve">“Necesito una credencial de producción.”</w:t>
      </w:r>
    </w:p>
    <w:p>
      <w:pPr>
        <w:pStyle w:val="FirstParagraph"/>
      </w:pPr>
      <w:r>
        <w:t xml:space="preserve">o:</w:t>
      </w:r>
    </w:p>
    <w:p>
      <w:pPr>
        <w:pStyle w:val="BlockText"/>
      </w:pPr>
      <w:r>
        <w:t xml:space="preserve">“Esta migración eliminaría datos existentes.”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de-reversibilidad"/>
    <w:p>
      <w:pPr>
        <w:pStyle w:val="Heading1"/>
      </w:pPr>
      <w:r>
        <w:t xml:space="preserve">13. PRINCIPIO DE REVERSIBILIDAD</w:t>
      </w:r>
    </w:p>
    <w:p>
      <w:pPr>
        <w:pStyle w:val="FirstParagraph"/>
      </w:pPr>
      <w:r>
        <w:t xml:space="preserve">Cuando existan dos opciones equivalentes, elegir primero la que sea:</w:t>
      </w:r>
    </w:p>
    <w:p>
      <w:pPr>
        <w:pStyle w:val="Compact"/>
        <w:numPr>
          <w:ilvl w:val="0"/>
          <w:numId w:val="1015"/>
        </w:numPr>
      </w:pPr>
      <w:r>
        <w:t xml:space="preserve">reversible;</w:t>
      </w:r>
    </w:p>
    <w:p>
      <w:pPr>
        <w:pStyle w:val="Compact"/>
        <w:numPr>
          <w:ilvl w:val="0"/>
          <w:numId w:val="1015"/>
        </w:numPr>
      </w:pPr>
      <w:r>
        <w:t xml:space="preserve">segura;</w:t>
      </w:r>
    </w:p>
    <w:p>
      <w:pPr>
        <w:pStyle w:val="Compact"/>
        <w:numPr>
          <w:ilvl w:val="0"/>
          <w:numId w:val="1015"/>
        </w:numPr>
      </w:pPr>
      <w:r>
        <w:t xml:space="preserve">barata;</w:t>
      </w:r>
    </w:p>
    <w:p>
      <w:pPr>
        <w:pStyle w:val="Compact"/>
        <w:numPr>
          <w:ilvl w:val="0"/>
          <w:numId w:val="1015"/>
        </w:numPr>
      </w:pPr>
      <w:r>
        <w:t xml:space="preserve">fácil de probar;</w:t>
      </w:r>
    </w:p>
    <w:p>
      <w:pPr>
        <w:pStyle w:val="Compact"/>
        <w:numPr>
          <w:ilvl w:val="0"/>
          <w:numId w:val="1015"/>
        </w:numPr>
      </w:pPr>
      <w:r>
        <w:t xml:space="preserve">fácil de deshacer.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de-mínimo-privilegio"/>
    <w:p>
      <w:pPr>
        <w:pStyle w:val="Heading1"/>
      </w:pPr>
      <w:r>
        <w:t xml:space="preserve">14. PRINCIPIO DE MÍNIMO PRIVILEGIO</w:t>
      </w:r>
    </w:p>
    <w:p>
      <w:pPr>
        <w:pStyle w:val="FirstParagraph"/>
      </w:pPr>
      <w:r>
        <w:t xml:space="preserve">Utilizar siempre el menor nivel de permisos necesario.</w:t>
      </w:r>
    </w:p>
    <w:p>
      <w:pPr>
        <w:pStyle w:val="BodyText"/>
      </w:pPr>
      <w:r>
        <w:t xml:space="preserve">Nunca solicitar:</w:t>
      </w:r>
    </w:p>
    <w:p>
      <w:pPr>
        <w:pStyle w:val="Compact"/>
        <w:numPr>
          <w:ilvl w:val="0"/>
          <w:numId w:val="1016"/>
        </w:numPr>
      </w:pPr>
      <w:r>
        <w:t xml:space="preserve">acceso administrativo total;</w:t>
      </w:r>
    </w:p>
    <w:p>
      <w:pPr>
        <w:pStyle w:val="Compact"/>
        <w:numPr>
          <w:ilvl w:val="0"/>
          <w:numId w:val="1016"/>
        </w:numPr>
      </w:pPr>
      <w:r>
        <w:t xml:space="preserve">permisos de producción;</w:t>
      </w:r>
    </w:p>
    <w:p>
      <w:pPr>
        <w:pStyle w:val="Compact"/>
        <w:numPr>
          <w:ilvl w:val="0"/>
          <w:numId w:val="1016"/>
        </w:numPr>
      </w:pPr>
      <w:r>
        <w:t xml:space="preserve">credenciales de servicio;</w:t>
      </w:r>
    </w:p>
    <w:p>
      <w:pPr>
        <w:pStyle w:val="FirstParagraph"/>
      </w:pPr>
      <w:r>
        <w:t xml:space="preserve">si una solución con menor privilegio es suficiente.</w:t>
      </w:r>
    </w:p>
    <w:p>
      <w:r>
        <w:pict>
          <v:rect style="width:0;height:1.5pt" o:hralign="center" o:hrstd="t" o:hr="t"/>
        </w:pict>
      </w:r>
    </w:p>
    <w:bookmarkEnd w:id="25"/>
    <w:bookmarkStart w:id="26" w:name="uso-de-internet-y-servicios-externos"/>
    <w:p>
      <w:pPr>
        <w:pStyle w:val="Heading1"/>
      </w:pPr>
      <w:r>
        <w:t xml:space="preserve">15. USO DE INTERNET Y SERVICIOS EXTERNOS</w:t>
      </w:r>
    </w:p>
    <w:p>
      <w:pPr>
        <w:pStyle w:val="FirstParagraph"/>
      </w:pPr>
      <w:r>
        <w:t xml:space="preserve">Puede consultar documentación técnica pública y actualizada.</w:t>
      </w:r>
    </w:p>
    <w:p>
      <w:pPr>
        <w:pStyle w:val="BodyText"/>
      </w:pPr>
      <w:r>
        <w:t xml:space="preserve">No debe:</w:t>
      </w:r>
    </w:p>
    <w:p>
      <w:pPr>
        <w:pStyle w:val="Compact"/>
        <w:numPr>
          <w:ilvl w:val="0"/>
          <w:numId w:val="1017"/>
        </w:numPr>
      </w:pPr>
      <w:r>
        <w:t xml:space="preserve">crear cuentas externas;</w:t>
      </w:r>
    </w:p>
    <w:p>
      <w:pPr>
        <w:pStyle w:val="Compact"/>
        <w:numPr>
          <w:ilvl w:val="0"/>
          <w:numId w:val="1017"/>
        </w:numPr>
      </w:pPr>
      <w:r>
        <w:t xml:space="preserve">aceptar contratos;</w:t>
      </w:r>
    </w:p>
    <w:p>
      <w:pPr>
        <w:pStyle w:val="Compact"/>
        <w:numPr>
          <w:ilvl w:val="0"/>
          <w:numId w:val="1017"/>
        </w:numPr>
      </w:pPr>
      <w:r>
        <w:t xml:space="preserve">introducir datos personales;</w:t>
      </w:r>
    </w:p>
    <w:p>
      <w:pPr>
        <w:pStyle w:val="Compact"/>
        <w:numPr>
          <w:ilvl w:val="0"/>
          <w:numId w:val="1017"/>
        </w:numPr>
      </w:pPr>
      <w:r>
        <w:t xml:space="preserve">realizar pagos;</w:t>
      </w:r>
    </w:p>
    <w:p>
      <w:pPr>
        <w:pStyle w:val="Compact"/>
        <w:numPr>
          <w:ilvl w:val="0"/>
          <w:numId w:val="1017"/>
        </w:numPr>
      </w:pPr>
      <w:r>
        <w:t xml:space="preserve">activar servicios de pago;</w:t>
      </w:r>
    </w:p>
    <w:p>
      <w:pPr>
        <w:pStyle w:val="FirstParagraph"/>
      </w:pPr>
      <w:r>
        <w:t xml:space="preserve">sin autorización.</w:t>
      </w:r>
    </w:p>
    <w:p>
      <w:r>
        <w:pict>
          <v:rect style="width:0;height:1.5pt" o:hralign="center" o:hrstd="t" o:hr="t"/>
        </w:pict>
      </w:r>
    </w:p>
    <w:bookmarkEnd w:id="26"/>
    <w:bookmarkStart w:id="27" w:name="uso-de-ia"/>
    <w:p>
      <w:pPr>
        <w:pStyle w:val="Heading1"/>
      </w:pPr>
      <w:r>
        <w:t xml:space="preserve">16. USO DE IA</w:t>
      </w:r>
    </w:p>
    <w:p>
      <w:pPr>
        <w:pStyle w:val="FirstParagraph"/>
      </w:pPr>
      <w:r>
        <w:t xml:space="preserve">El agente puede utilizar IA para:</w:t>
      </w:r>
    </w:p>
    <w:p>
      <w:pPr>
        <w:pStyle w:val="Compact"/>
        <w:numPr>
          <w:ilvl w:val="0"/>
          <w:numId w:val="1018"/>
        </w:numPr>
      </w:pPr>
      <w:r>
        <w:t xml:space="preserve">generación de código;</w:t>
      </w:r>
    </w:p>
    <w:p>
      <w:pPr>
        <w:pStyle w:val="Compact"/>
        <w:numPr>
          <w:ilvl w:val="0"/>
          <w:numId w:val="1018"/>
        </w:numPr>
      </w:pPr>
      <w:r>
        <w:t xml:space="preserve">revisión;</w:t>
      </w:r>
    </w:p>
    <w:p>
      <w:pPr>
        <w:pStyle w:val="Compact"/>
        <w:numPr>
          <w:ilvl w:val="0"/>
          <w:numId w:val="1018"/>
        </w:numPr>
      </w:pPr>
      <w:r>
        <w:t xml:space="preserve">documentación;</w:t>
      </w:r>
    </w:p>
    <w:p>
      <w:pPr>
        <w:pStyle w:val="Compact"/>
        <w:numPr>
          <w:ilvl w:val="0"/>
          <w:numId w:val="1018"/>
        </w:numPr>
      </w:pPr>
      <w:r>
        <w:t xml:space="preserve">testing;</w:t>
      </w:r>
    </w:p>
    <w:p>
      <w:pPr>
        <w:pStyle w:val="Compact"/>
        <w:numPr>
          <w:ilvl w:val="0"/>
          <w:numId w:val="1018"/>
        </w:numPr>
      </w:pPr>
      <w:r>
        <w:t xml:space="preserve">análisis técnico;</w:t>
      </w:r>
    </w:p>
    <w:p>
      <w:pPr>
        <w:pStyle w:val="FirstParagraph"/>
      </w:pPr>
      <w:r>
        <w:t xml:space="preserve">pero debe verificar el resultado.</w:t>
      </w:r>
    </w:p>
    <w:p>
      <w:pPr>
        <w:pStyle w:val="BodyText"/>
      </w:pPr>
      <w:r>
        <w:t xml:space="preserve">No tratar una respuesta generada por IA como evidencia de que algo funciona.</w:t>
      </w:r>
    </w:p>
    <w:p>
      <w:pPr>
        <w:pStyle w:val="BodyText"/>
      </w:pPr>
      <w:r>
        <w:t xml:space="preserve">La evidencia válida es:</w:t>
      </w:r>
    </w:p>
    <w:bookmarkEnd w:id="27"/>
    <w:bookmarkStart w:id="28" w:name="código-prueba-verificación"/>
    <w:p>
      <w:pPr>
        <w:pStyle w:val="Heading1"/>
      </w:pPr>
      <w:r>
        <w:t xml:space="preserve">CÓDIGO + PRUEBA + VERIFICACIÓN</w:t>
      </w:r>
    </w:p>
    <w:p>
      <w:r>
        <w:pict>
          <v:rect style="width:0;height:1.5pt" o:hralign="center" o:hrstd="t" o:hr="t"/>
        </w:pict>
      </w:r>
    </w:p>
    <w:bookmarkEnd w:id="28"/>
    <w:bookmarkStart w:id="29" w:name="regla-final-de-autonomía"/>
    <w:p>
      <w:pPr>
        <w:pStyle w:val="Heading1"/>
      </w:pPr>
      <w:r>
        <w:t xml:space="preserve">17. REGLA FINAL DE AUTONOMÍA</w:t>
      </w:r>
    </w:p>
    <w:p>
      <w:pPr>
        <w:pStyle w:val="FirstParagraph"/>
      </w:pPr>
      <w:r>
        <w:t xml:space="preserve">La regla general será:</w:t>
      </w:r>
    </w:p>
    <w:p>
      <w:pPr>
        <w:pStyle w:val="BlockText"/>
      </w:pPr>
      <w:r>
        <w:rPr>
          <w:b/>
          <w:bCs/>
        </w:rPr>
        <w:t xml:space="preserve">“Actúa solo cuando la acción sea técnicamente segura, reversible y esté dentro del alcance del proyecto. Detente únicamente ante acciones financieras, legales, destructivas, irreversibles, de producción crítica o que requieran una credencial/autorización del propietario.”</w:t>
      </w:r>
    </w:p>
    <w:p>
      <w:pPr>
        <w:pStyle w:val="FirstParagraph"/>
      </w:pPr>
      <w:r>
        <w:t xml:space="preserve">El objetivo es que el agente sea:</w:t>
      </w:r>
    </w:p>
    <w:bookmarkEnd w:id="29"/>
    <w:bookmarkStart w:id="30" w:name="autónomo-para-construir"/>
    <w:p>
      <w:pPr>
        <w:pStyle w:val="Heading1"/>
      </w:pPr>
      <w:r>
        <w:t xml:space="preserve">AUTÓNOMO PARA CONSTRUIR</w:t>
      </w:r>
    </w:p>
    <w:p>
      <w:pPr>
        <w:pStyle w:val="FirstParagraph"/>
      </w:pPr>
      <w:r>
        <w:t xml:space="preserve">pero:</w:t>
      </w:r>
    </w:p>
    <w:bookmarkEnd w:id="30"/>
    <w:bookmarkStart w:id="31" w:name="controlado-para-decidir"/>
    <w:p>
      <w:pPr>
        <w:pStyle w:val="Heading1"/>
      </w:pPr>
      <w:r>
        <w:t xml:space="preserve">CONTROLADO PARA DECIDIR</w:t>
      </w:r>
    </w:p>
    <w:p>
      <w:pPr>
        <w:pStyle w:val="FirstParagraph"/>
      </w:pPr>
      <w:r>
        <w:t xml:space="preserve">El propietario conserva siempre el control final sobre:</w:t>
      </w:r>
    </w:p>
    <w:p>
      <w:pPr>
        <w:pStyle w:val="Compact"/>
        <w:numPr>
          <w:ilvl w:val="0"/>
          <w:numId w:val="1019"/>
        </w:numPr>
      </w:pPr>
      <w:r>
        <w:t xml:space="preserve">dinero;</w:t>
      </w:r>
    </w:p>
    <w:p>
      <w:pPr>
        <w:pStyle w:val="Compact"/>
        <w:numPr>
          <w:ilvl w:val="0"/>
          <w:numId w:val="1019"/>
        </w:numPr>
      </w:pPr>
      <w:r>
        <w:t xml:space="preserve">cuentas;</w:t>
      </w:r>
    </w:p>
    <w:p>
      <w:pPr>
        <w:pStyle w:val="Compact"/>
        <w:numPr>
          <w:ilvl w:val="0"/>
          <w:numId w:val="1019"/>
        </w:numPr>
      </w:pPr>
      <w:r>
        <w:t xml:space="preserve">datos reales;</w:t>
      </w:r>
    </w:p>
    <w:p>
      <w:pPr>
        <w:pStyle w:val="Compact"/>
        <w:numPr>
          <w:ilvl w:val="0"/>
          <w:numId w:val="1019"/>
        </w:numPr>
      </w:pPr>
      <w:r>
        <w:t xml:space="preserve">producción;</w:t>
      </w:r>
    </w:p>
    <w:p>
      <w:pPr>
        <w:pStyle w:val="Compact"/>
        <w:numPr>
          <w:ilvl w:val="0"/>
          <w:numId w:val="1019"/>
        </w:numPr>
      </w:pPr>
      <w:r>
        <w:t xml:space="preserve">publicación;</w:t>
      </w:r>
    </w:p>
    <w:p>
      <w:pPr>
        <w:pStyle w:val="Compact"/>
        <w:numPr>
          <w:ilvl w:val="0"/>
          <w:numId w:val="1019"/>
        </w:numPr>
      </w:pPr>
      <w:r>
        <w:t xml:space="preserve">decisiones empresariales;</w:t>
      </w:r>
    </w:p>
    <w:p>
      <w:pPr>
        <w:pStyle w:val="Compact"/>
        <w:numPr>
          <w:ilvl w:val="0"/>
          <w:numId w:val="1019"/>
        </w:numPr>
      </w:pPr>
      <w:r>
        <w:t xml:space="preserve">asuntos legales;</w:t>
      </w:r>
    </w:p>
    <w:p>
      <w:pPr>
        <w:pStyle w:val="Compact"/>
        <w:numPr>
          <w:ilvl w:val="0"/>
          <w:numId w:val="1019"/>
        </w:numPr>
      </w:pPr>
      <w:r>
        <w:t xml:space="preserve">credenciales.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