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1A576">
      <w:pPr>
        <w:bidi w:val="0"/>
        <w:jc w:val="left"/>
        <w:rPr>
          <w:rFonts w:hint="eastAsia" w:ascii="宋体" w:hAnsi="宋体" w:eastAsiaTheme="minorEastAsia"/>
          <w:highlight w:val="none"/>
          <w:lang w:eastAsia="zh-CN"/>
        </w:rPr>
      </w:pPr>
      <w:bookmarkStart w:id="0" w:name="OLE_LINK10"/>
      <w:r>
        <w:rPr>
          <w:rFonts w:hint="eastAsia" w:ascii="宋体" w:hAnsi="宋体" w:eastAsiaTheme="minorEastAsia"/>
          <w:highlight w:val="none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3726815</wp:posOffset>
            </wp:positionH>
            <wp:positionV relativeFrom="paragraph">
              <wp:posOffset>156210</wp:posOffset>
            </wp:positionV>
            <wp:extent cx="1948180" cy="844550"/>
            <wp:effectExtent l="0" t="0" r="0" b="0"/>
            <wp:wrapNone/>
            <wp:docPr id="19" name="图片 19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慧科LOGO-CMY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Theme="minorEastAsia"/>
          <w:highlight w:val="none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-189230</wp:posOffset>
            </wp:positionH>
            <wp:positionV relativeFrom="paragraph">
              <wp:posOffset>128270</wp:posOffset>
            </wp:positionV>
            <wp:extent cx="3022600" cy="869950"/>
            <wp:effectExtent l="0" t="0" r="0" b="0"/>
            <wp:wrapNone/>
            <wp:docPr id="5" name="图片 5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贵州大学log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8E621">
      <w:pPr>
        <w:bidi w:val="0"/>
        <w:jc w:val="left"/>
        <w:rPr>
          <w:rFonts w:hint="eastAsia" w:ascii="宋体" w:hAnsi="宋体" w:eastAsiaTheme="minorEastAsia"/>
          <w:highlight w:val="none"/>
          <w:lang w:eastAsia="zh-CN"/>
        </w:rPr>
      </w:pPr>
    </w:p>
    <w:p w14:paraId="431C0C2C">
      <w:pPr>
        <w:bidi w:val="0"/>
        <w:jc w:val="left"/>
        <w:rPr>
          <w:rFonts w:hint="eastAsia" w:ascii="宋体" w:hAnsi="宋体" w:eastAsiaTheme="minorEastAsia"/>
          <w:highlight w:val="none"/>
          <w:lang w:eastAsia="zh-CN"/>
        </w:rPr>
      </w:pPr>
    </w:p>
    <w:p w14:paraId="27CF5C95">
      <w:pPr>
        <w:bidi w:val="0"/>
        <w:jc w:val="left"/>
        <w:rPr>
          <w:rFonts w:hint="eastAsia" w:ascii="宋体" w:hAnsi="宋体" w:eastAsiaTheme="minorEastAsia"/>
          <w:highlight w:val="none"/>
          <w:lang w:eastAsia="zh-CN"/>
        </w:rPr>
      </w:pPr>
    </w:p>
    <w:p w14:paraId="7AB89EB2">
      <w:p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2026年9月10日 - 01 - 02</w:t>
      </w:r>
    </w:p>
    <w:p w14:paraId="071D0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49" w:beforeLines="400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项目名称</w:t>
      </w:r>
      <w:bookmarkEnd w:id="0"/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:多Agent智能虚拟化实验平台</w:t>
      </w:r>
    </w:p>
    <w:p w14:paraId="2FCB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  <w:r>
        <w:rPr>
          <w:rFonts w:hint="eastAsia" w:ascii="黑体" w:hAnsi="黑体" w:eastAsia="黑体" w:cs="黑体"/>
          <w:sz w:val="84"/>
          <w:szCs w:val="84"/>
          <w:lang w:val="en-US" w:eastAsia="zh-CN"/>
        </w:rPr>
        <w:t>需求调研报告</w:t>
      </w:r>
    </w:p>
    <w:p w14:paraId="5F291501">
      <w:pPr>
        <w:ind w:left="0" w:leftChars="0" w:firstLine="0" w:firstLineChars="0"/>
      </w:pPr>
    </w:p>
    <w:p w14:paraId="358BE21A">
      <w:pPr>
        <w:ind w:left="0" w:leftChars="0" w:firstLine="0" w:firstLineChars="0"/>
      </w:pPr>
    </w:p>
    <w:tbl>
      <w:tblPr>
        <w:tblStyle w:val="18"/>
        <w:tblpPr w:leftFromText="180" w:rightFromText="180" w:vertAnchor="text" w:horzAnchor="page" w:tblpXSpec="center" w:tblpY="85"/>
        <w:tblOverlap w:val="never"/>
        <w:tblW w:w="62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4643"/>
      </w:tblGrid>
      <w:tr w14:paraId="1C587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576" w:type="dxa"/>
          </w:tcPr>
          <w:p w14:paraId="3CD273D3">
            <w:pPr>
              <w:spacing w:line="600" w:lineRule="auto"/>
              <w:ind w:left="0" w:leftChars="0" w:firstLine="0" w:firstLineChars="0"/>
              <w:jc w:val="distribute"/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文档编号</w:t>
            </w:r>
            <w:r>
              <w:rPr>
                <w:rFonts w:ascii="宋体" w:hAnsi="宋体" w:eastAsia="宋体"/>
                <w:b w:val="0"/>
                <w:bCs/>
                <w:sz w:val="24"/>
              </w:rPr>
              <w:t>：</w:t>
            </w:r>
          </w:p>
        </w:tc>
        <w:tc>
          <w:tcPr>
            <w:tcW w:w="4643" w:type="dxa"/>
          </w:tcPr>
          <w:p w14:paraId="37EE5BD8">
            <w:pPr>
              <w:spacing w:line="600" w:lineRule="auto"/>
              <w:ind w:left="0" w:leftChars="0" w:firstLine="0" w:firstLineChars="0"/>
              <w:jc w:val="left"/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023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02</w:t>
            </w:r>
          </w:p>
        </w:tc>
      </w:tr>
      <w:tr w14:paraId="0B4DF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576" w:type="dxa"/>
          </w:tcPr>
          <w:p w14:paraId="6DC3EC22">
            <w:pPr>
              <w:spacing w:line="600" w:lineRule="auto"/>
              <w:ind w:left="0" w:leftChars="0" w:firstLine="0" w:firstLineChars="0"/>
              <w:jc w:val="distribute"/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密级</w:t>
            </w:r>
            <w:r>
              <w:rPr>
                <w:rFonts w:ascii="宋体" w:hAnsi="宋体" w:eastAsia="宋体"/>
                <w:b w:val="0"/>
                <w:bCs/>
                <w:sz w:val="24"/>
              </w:rPr>
              <w:t>：</w:t>
            </w:r>
          </w:p>
        </w:tc>
        <w:tc>
          <w:tcPr>
            <w:tcW w:w="4643" w:type="dxa"/>
          </w:tcPr>
          <w:p w14:paraId="2CEB4EA7">
            <w:pPr>
              <w:spacing w:line="600" w:lineRule="auto"/>
              <w:ind w:left="0" w:lef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内部使用</w:t>
            </w:r>
          </w:p>
        </w:tc>
      </w:tr>
      <w:tr w14:paraId="45097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1576" w:type="dxa"/>
          </w:tcPr>
          <w:p w14:paraId="34124683">
            <w:pPr>
              <w:spacing w:line="600" w:lineRule="auto"/>
              <w:ind w:left="0" w:leftChars="0" w:firstLine="0" w:firstLineChars="0"/>
              <w:jc w:val="distribute"/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编写</w:t>
            </w:r>
            <w:r>
              <w:rPr>
                <w:rFonts w:ascii="宋体" w:hAnsi="宋体" w:eastAsia="宋体"/>
                <w:b w:val="0"/>
                <w:bCs/>
                <w:sz w:val="24"/>
              </w:rPr>
              <w:t>：</w:t>
            </w:r>
          </w:p>
        </w:tc>
        <w:tc>
          <w:tcPr>
            <w:tcW w:w="4643" w:type="dxa"/>
          </w:tcPr>
          <w:p w14:paraId="4A094D7C">
            <w:pPr>
              <w:spacing w:line="600" w:lineRule="auto"/>
              <w:ind w:left="0" w:leftChars="0" w:firstLine="0" w:firstLineChars="0"/>
              <w:jc w:val="left"/>
            </w:pPr>
            <w:r>
              <w:rPr>
                <w:rFonts w:hint="eastAsia"/>
              </w:rPr>
              <w:t>翁振磊</w:t>
            </w:r>
          </w:p>
        </w:tc>
      </w:tr>
      <w:tr w14:paraId="4E40A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6" w:type="dxa"/>
          </w:tcPr>
          <w:p w14:paraId="3CB79FDA">
            <w:pPr>
              <w:spacing w:line="600" w:lineRule="auto"/>
              <w:ind w:left="0" w:leftChars="0" w:firstLine="0" w:firstLineChars="0"/>
              <w:jc w:val="distribute"/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审核</w:t>
            </w:r>
            <w:r>
              <w:rPr>
                <w:rFonts w:ascii="宋体" w:hAnsi="宋体" w:eastAsia="宋体"/>
                <w:b w:val="0"/>
                <w:bCs/>
                <w:sz w:val="24"/>
              </w:rPr>
              <w:t>：</w:t>
            </w:r>
          </w:p>
        </w:tc>
        <w:tc>
          <w:tcPr>
            <w:tcW w:w="4643" w:type="dxa"/>
          </w:tcPr>
          <w:p w14:paraId="7725809F">
            <w:pPr>
              <w:spacing w:line="600" w:lineRule="auto"/>
              <w:ind w:left="0" w:leftChars="0" w:firstLine="0" w:firstLineChars="0"/>
              <w:jc w:val="left"/>
            </w:pPr>
            <w:r>
              <w:rPr>
                <w:rFonts w:hint="eastAsia"/>
              </w:rPr>
              <w:t>翁振磊</w:t>
            </w:r>
          </w:p>
        </w:tc>
      </w:tr>
      <w:tr w14:paraId="634B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6" w:type="dxa"/>
          </w:tcPr>
          <w:p w14:paraId="575B4392">
            <w:pPr>
              <w:spacing w:line="600" w:lineRule="auto"/>
              <w:ind w:left="0" w:leftChars="0" w:firstLine="0" w:firstLineChars="0"/>
              <w:jc w:val="distribute"/>
              <w:rPr>
                <w:rFonts w:hint="default" w:ascii="宋体" w:hAns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批准</w:t>
            </w:r>
            <w:r>
              <w:rPr>
                <w:rFonts w:ascii="宋体" w:hAnsi="宋体" w:eastAsia="宋体"/>
                <w:b w:val="0"/>
                <w:bCs/>
                <w:sz w:val="24"/>
              </w:rPr>
              <w:t>：</w:t>
            </w:r>
          </w:p>
        </w:tc>
        <w:tc>
          <w:tcPr>
            <w:tcW w:w="4643" w:type="dxa"/>
          </w:tcPr>
          <w:p w14:paraId="5473A25A">
            <w:pPr>
              <w:spacing w:line="600" w:lineRule="auto"/>
              <w:ind w:left="0" w:lef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</w:tr>
      <w:tr w14:paraId="5342A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6" w:type="dxa"/>
          </w:tcPr>
          <w:p w14:paraId="1057F6D1">
            <w:pPr>
              <w:spacing w:line="600" w:lineRule="auto"/>
              <w:ind w:left="0" w:leftChars="0" w:firstLine="0" w:firstLineChars="0"/>
              <w:jc w:val="distribute"/>
              <w:rPr>
                <w:rFonts w:hint="eastAsia" w:ascii="宋体" w:hAns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日期</w:t>
            </w:r>
            <w:r>
              <w:rPr>
                <w:rFonts w:ascii="宋体" w:hAnsi="宋体" w:eastAsia="宋体"/>
                <w:b w:val="0"/>
                <w:bCs/>
                <w:sz w:val="24"/>
              </w:rPr>
              <w:t>：</w:t>
            </w:r>
          </w:p>
        </w:tc>
        <w:tc>
          <w:tcPr>
            <w:tcW w:w="4643" w:type="dxa"/>
          </w:tcPr>
          <w:p w14:paraId="26490F09">
            <w:pPr>
              <w:numPr>
                <w:ilvl w:val="0"/>
                <w:numId w:val="0"/>
              </w:numPr>
              <w:spacing w:line="600" w:lineRule="auto"/>
              <w:ind w:left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2026 - 9 - 10</w:t>
            </w:r>
          </w:p>
        </w:tc>
      </w:tr>
    </w:tbl>
    <w:p w14:paraId="78EC6584">
      <w:pPr>
        <w:ind w:left="0" w:leftChars="0" w:firstLine="0" w:firstLineChars="0"/>
      </w:pPr>
    </w:p>
    <w:p w14:paraId="4B0C5207">
      <w:pPr>
        <w:ind w:left="0" w:leftChars="0" w:firstLine="0" w:firstLineChars="0"/>
      </w:pPr>
    </w:p>
    <w:p w14:paraId="1F26D706">
      <w:pPr>
        <w:ind w:left="0" w:leftChars="0" w:firstLine="0" w:firstLineChars="0"/>
        <w:jc w:val="both"/>
      </w:pPr>
    </w:p>
    <w:p w14:paraId="060D3D2B">
      <w:pPr>
        <w:ind w:left="0" w:leftChars="0" w:firstLine="0" w:firstLineChars="0"/>
        <w:jc w:val="both"/>
      </w:pPr>
    </w:p>
    <w:p w14:paraId="688658FA">
      <w:pPr>
        <w:ind w:left="0" w:leftChars="0" w:firstLine="0" w:firstLineChars="0"/>
        <w:jc w:val="both"/>
      </w:pPr>
    </w:p>
    <w:p w14:paraId="6987DC07">
      <w:pPr>
        <w:ind w:left="0" w:leftChars="0" w:firstLine="0" w:firstLineChars="0"/>
        <w:jc w:val="both"/>
      </w:pPr>
    </w:p>
    <w:p w14:paraId="15BBD14C">
      <w:pPr>
        <w:ind w:left="0" w:leftChars="0" w:firstLine="0" w:firstLineChars="0"/>
        <w:jc w:val="both"/>
      </w:pPr>
    </w:p>
    <w:p w14:paraId="37FE5C19">
      <w:pPr>
        <w:ind w:left="0" w:leftChars="0" w:firstLine="0" w:firstLineChars="0"/>
        <w:jc w:val="both"/>
      </w:pPr>
    </w:p>
    <w:p w14:paraId="3503B891">
      <w:pPr>
        <w:ind w:left="0" w:leftChars="0" w:firstLine="0" w:firstLineChars="0"/>
        <w:jc w:val="both"/>
      </w:pPr>
    </w:p>
    <w:p w14:paraId="24757538">
      <w:pPr>
        <w:ind w:left="0" w:leftChars="0" w:firstLine="0" w:firstLineChars="0"/>
        <w:jc w:val="both"/>
      </w:pPr>
    </w:p>
    <w:p w14:paraId="0C682C81">
      <w:pPr>
        <w:ind w:left="0" w:leftChars="0" w:firstLine="0" w:firstLineChars="0"/>
        <w:jc w:val="both"/>
      </w:pPr>
    </w:p>
    <w:p w14:paraId="20022413">
      <w:pPr>
        <w:ind w:left="0" w:leftChars="0" w:firstLine="0" w:firstLineChars="0"/>
        <w:jc w:val="both"/>
      </w:pPr>
    </w:p>
    <w:p w14:paraId="39F0EEA2">
      <w:pPr>
        <w:ind w:left="0" w:leftChars="0" w:firstLine="0" w:firstLineChars="0"/>
        <w:jc w:val="both"/>
      </w:pPr>
    </w:p>
    <w:p w14:paraId="720EFCC1">
      <w:pPr>
        <w:ind w:left="0" w:leftChars="0" w:firstLine="0" w:firstLineChars="0"/>
        <w:jc w:val="both"/>
      </w:pPr>
    </w:p>
    <w:p w14:paraId="4782BDEE">
      <w:pPr>
        <w:bidi w:val="0"/>
        <w:jc w:val="right"/>
      </w:pPr>
      <w:bookmarkStart w:id="1" w:name="OLE_LINK2"/>
      <w:r>
        <w:rPr>
          <w:rFonts w:hint="eastAsia"/>
          <w:lang w:val="en-US" w:eastAsia="zh-CN"/>
        </w:rPr>
        <w:t>贵州慧科未来科技有限公司</w:t>
      </w:r>
      <w:bookmarkEnd w:id="1"/>
    </w:p>
    <w:p w14:paraId="10241C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sectPr>
          <w:footerReference r:id="rId5" w:type="default"/>
          <w:pgSz w:w="11906" w:h="16838"/>
          <w:pgMar w:top="1440" w:right="1587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312" w:charSpace="0"/>
        </w:sectPr>
      </w:pPr>
    </w:p>
    <w:sdt>
      <w:sdtPr>
        <w:rPr>
          <w:rFonts w:ascii="宋体" w:hAnsi="宋体" w:eastAsia="宋体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id w:val="14746809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sdtEndPr>
      <w:sdtContent>
        <w:p w14:paraId="7A8EFBE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61A10E0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_Toc24458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_Toc24458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A122F2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_Toc576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调研背景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C4D16B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_Toc23629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调研目标</w:t>
          </w:r>
          <w:r>
            <w:tab/>
          </w:r>
          <w:r>
            <w:fldChar w:fldCharType="begin"/>
          </w:r>
          <w:r>
            <w:instrText xml:space="preserve"> PAGEREF _Toc23629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99811C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_Toc22343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需求基线</w:t>
          </w:r>
          <w:r>
            <w:tab/>
          </w:r>
          <w:r>
            <w:fldChar w:fldCharType="begin"/>
          </w:r>
          <w:r>
            <w:instrText xml:space="preserve"> PAGEREF _Toc22343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BCE6B0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_Toc31357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用户与问题分析</w:t>
          </w:r>
          <w:r>
            <w:tab/>
          </w:r>
          <w:r>
            <w:fldChar w:fldCharType="begin"/>
          </w:r>
          <w:r>
            <w:instrText xml:space="preserve"> PAGEREF _Toc31357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502DB1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_Toc12738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固定角色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E0F3E4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_Toc18857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核心痛点与结论</w:t>
          </w:r>
          <w:r>
            <w:tab/>
          </w:r>
          <w:r>
            <w:fldChar w:fldCharType="begin"/>
          </w:r>
          <w:r>
            <w:instrText xml:space="preserve"> PAGEREF _Toc18857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594FB3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_Toc25793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产品定位与范围</w:t>
          </w:r>
          <w:r>
            <w:tab/>
          </w:r>
          <w:r>
            <w:fldChar w:fldCharType="begin"/>
          </w:r>
          <w:r>
            <w:instrText xml:space="preserve"> PAGEREF _Toc25793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55933A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_Toc22335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产品定位</w:t>
          </w:r>
          <w:r>
            <w:tab/>
          </w:r>
          <w:r>
            <w:fldChar w:fldCharType="begin"/>
          </w:r>
          <w:r>
            <w:instrText xml:space="preserve"> PAGEREF _Toc22335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D1BD7E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_Toc12253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首期范围</w:t>
          </w:r>
          <w:r>
            <w:tab/>
          </w:r>
          <w:r>
            <w:fldChar w:fldCharType="begin"/>
          </w:r>
          <w:r>
            <w:instrText xml:space="preserve"> PAGEREF _Toc12253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D36A38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_Toc25453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项目边界</w:t>
          </w:r>
          <w:r>
            <w:tab/>
          </w:r>
          <w:r>
            <w:fldChar w:fldCharType="begin"/>
          </w:r>
          <w:r>
            <w:instrText xml:space="preserve"> PAGEREF _Toc25453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552059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_Toc26484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核心业务需求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F78B72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_Toc14958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端到端主流程</w:t>
          </w:r>
          <w:r>
            <w:tab/>
          </w:r>
          <w:r>
            <w:fldChar w:fldCharType="begin"/>
          </w:r>
          <w:r>
            <w:instrText xml:space="preserve"> PAGEREF _Toc14958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400D89">
          <w:pPr>
            <w:pStyle w:val="15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_Toc12988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三端功能结论</w:t>
          </w:r>
          <w:r>
            <w:tab/>
          </w:r>
          <w:r>
            <w:fldChar w:fldCharType="begin"/>
          </w:r>
          <w:r>
            <w:instrText xml:space="preserve"> PAGEREF _Toc12988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88E7F9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_Toc2762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UI与业务闭环</w:t>
          </w:r>
          <w:r>
            <w:tab/>
          </w:r>
          <w:r>
            <w:fldChar w:fldCharType="begin"/>
          </w:r>
          <w:r>
            <w:instrText xml:space="preserve"> PAGEREF _Toc2762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45323A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_Toc16810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非功能与验收约束</w:t>
          </w:r>
          <w:r>
            <w:tab/>
          </w:r>
          <w:r>
            <w:fldChar w:fldCharType="begin"/>
          </w:r>
          <w:r>
            <w:instrText xml:space="preserve"> PAGEREF _Toc16810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3DB401">
          <w:pPr>
            <w:pStyle w:val="13"/>
            <w:tabs>
              <w:tab w:val="right" w:leader="dot" w:pos="8618"/>
            </w:tabs>
          </w:pPr>
          <w:r>
            <w:fldChar w:fldCharType="begin"/>
          </w:r>
          <w:r>
            <w:instrText xml:space="preserve"> HYPERLINK \l _Toc6688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调研结论</w:t>
          </w:r>
          <w:r>
            <w:tab/>
          </w:r>
          <w:r>
            <w:fldChar w:fldCharType="begin"/>
          </w:r>
          <w:r>
            <w:instrText xml:space="preserve"> PAGEREF _Toc6688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21BE70">
          <w:r>
            <w:fldChar w:fldCharType="end"/>
          </w:r>
        </w:p>
      </w:sdtContent>
    </w:sdt>
    <w:p w14:paraId="4B353BBE"/>
    <w:p w14:paraId="109A3013"/>
    <w:p w14:paraId="33C1F549"/>
    <w:p w14:paraId="7DEECAEF">
      <w:pPr>
        <w:pStyle w:val="2"/>
        <w:numPr>
          <w:numId w:val="0"/>
        </w:numPr>
        <w:bidi w:val="0"/>
        <w:ind w:leftChars="0"/>
      </w:pPr>
    </w:p>
    <w:p w14:paraId="3AAC6BA2"/>
    <w:p w14:paraId="6D2F79D6">
      <w:pPr>
        <w:pStyle w:val="2"/>
        <w:bidi w:val="0"/>
        <w:ind w:left="0" w:leftChars="0" w:firstLine="0" w:firstLineChars="0"/>
      </w:pPr>
      <w:bookmarkStart w:id="2" w:name="_Toc24458"/>
      <w:r>
        <w:t>项目概述</w:t>
      </w:r>
      <w:bookmarkEnd w:id="2"/>
    </w:p>
    <w:p w14:paraId="5BE45EC8">
      <w:pPr>
        <w:pStyle w:val="3"/>
        <w:bidi w:val="0"/>
      </w:pPr>
      <w:bookmarkStart w:id="3" w:name="_Toc576"/>
      <w:r>
        <w:t>调研背景</w:t>
      </w:r>
      <w:bookmarkEnd w:id="3"/>
    </w:p>
    <w:p w14:paraId="60A260E9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线实验的主要阻力已从代码编写扩展到环境准备、过程留痕、教学审核和资源回收。普通用户处理运行时、依赖和虚拟机成本高；教师难以保证所有参与者使用同一环境并连续掌握实验、报告与审核状态；平台则面临重复实例、资源泄漏和成果未归档即销毁等风险。</w:t>
      </w:r>
    </w:p>
    <w:p w14:paraId="6A867AE9">
      <w:pPr>
        <w:pStyle w:val="3"/>
        <w:bidi w:val="0"/>
        <w:ind w:left="567" w:leftChars="0" w:hanging="547" w:firstLineChars="0"/>
      </w:pPr>
      <w:bookmarkStart w:id="4" w:name="_Toc23629"/>
      <w:r>
        <w:t>调研目标</w:t>
      </w:r>
      <w:bookmarkEnd w:id="4"/>
    </w:p>
    <w:p w14:paraId="643144DF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确认以教师发布任务为起点、以成果归档和实例销毁为终点的业务闭环。</w:t>
      </w:r>
    </w:p>
    <w:p w14:paraId="605F1057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确认普通用户零环境配置的边界，以及教师、助教和系统管理员的固定职责。</w:t>
      </w:r>
    </w:p>
    <w:p w14:paraId="272502A3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确认容器与虚拟机、报告审核、异常重试、补偿和审计的必备能力。</w:t>
      </w:r>
    </w:p>
    <w:p w14:paraId="6C077216">
      <w:pPr>
        <w:pStyle w:val="3"/>
        <w:bidi w:val="0"/>
      </w:pPr>
      <w:bookmarkStart w:id="5" w:name="_Toc22343"/>
      <w:r>
        <w:t>需求基线</w:t>
      </w:r>
      <w:bookmarkEnd w:id="5"/>
    </w:p>
    <w:p w14:paraId="4A1CE048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报告以《需求变更说明_教师发布与云端实验全流程》为最高业务基线，以第二批《数据库设计文档》为数据基线，并要求三级功能清单、用例、UI、接口和验收口径逐项对应。发生冲突时，教师发布、指定用户、冻结模板版本、环境自动加载、报告审核、成果归档和实例销毁的最新闭环优先。</w:t>
      </w:r>
    </w:p>
    <w:p w14:paraId="5CFF66E8">
      <w:pPr>
        <w:spacing w:line="360" w:lineRule="auto"/>
        <w:ind w:firstLine="420"/>
        <w:rPr>
          <w:rFonts w:hint="eastAsia" w:ascii="宋体" w:hAnsi="宋体"/>
          <w:sz w:val="21"/>
          <w:lang w:val="en-US" w:eastAsia="zh-CN"/>
        </w:rPr>
        <w:sectPr>
          <w:footerReference r:id="rId6" w:type="default"/>
          <w:pgSz w:w="11906" w:h="16838"/>
          <w:pgMar w:top="1440" w:right="1587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  <w:r>
        <w:rPr>
          <w:rFonts w:ascii="宋体" w:hAnsi="宋体" w:eastAsia="宋体"/>
          <w:sz w:val="21"/>
        </w:rPr>
        <w:t>账号、固定角色与团队成员资格分离：普通用户可申请加入或退出，ORG_ADMIN可审核、直接添加或移除成员。成员为ACTIVE是新任务分配和任务启动的前置条件；这不引入多团队、班级或课程层级</w:t>
      </w:r>
    </w:p>
    <w:p w14:paraId="49474161">
      <w:pPr>
        <w:pStyle w:val="2"/>
        <w:bidi w:val="0"/>
      </w:pPr>
      <w:bookmarkStart w:id="6" w:name="_Toc31357"/>
      <w:r>
        <w:t>用户与问题分析</w:t>
      </w:r>
      <w:bookmarkEnd w:id="6"/>
    </w:p>
    <w:p w14:paraId="3FFEBFC0">
      <w:pPr>
        <w:pStyle w:val="3"/>
        <w:bidi w:val="0"/>
      </w:pPr>
      <w:bookmarkStart w:id="7" w:name="_Toc12738"/>
      <w:r>
        <w:t>固定角色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806"/>
        <w:gridCol w:w="2396"/>
        <w:gridCol w:w="2975"/>
      </w:tblGrid>
      <w:tr w14:paraId="519A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8C79B13">
            <w:r>
              <w:rPr>
                <w:rFonts w:ascii="黑体" w:hAnsi="黑体" w:eastAsia="黑体"/>
                <w:b/>
                <w:color w:val="FFFFFF"/>
                <w:sz w:val="19"/>
              </w:rPr>
              <w:t>业务身份</w:t>
            </w:r>
          </w:p>
        </w:tc>
        <w:tc>
          <w:tcPr>
            <w:tcW w:w="1728" w:type="dxa"/>
            <w:vAlign w:val="center"/>
          </w:tcPr>
          <w:p w14:paraId="72365A24">
            <w:r>
              <w:rPr>
                <w:rFonts w:ascii="黑体" w:hAnsi="黑体" w:eastAsia="黑体"/>
                <w:b/>
                <w:color w:val="FFFFFF"/>
                <w:sz w:val="19"/>
              </w:rPr>
              <w:t>平台角色</w:t>
            </w:r>
          </w:p>
        </w:tc>
        <w:tc>
          <w:tcPr>
            <w:tcW w:w="3168" w:type="dxa"/>
            <w:vAlign w:val="center"/>
          </w:tcPr>
          <w:p w14:paraId="2E5549FF">
            <w:r>
              <w:rPr>
                <w:rFonts w:ascii="黑体" w:hAnsi="黑体" w:eastAsia="黑体"/>
                <w:b/>
                <w:color w:val="FFFFFF"/>
                <w:sz w:val="19"/>
              </w:rPr>
              <w:t>核心目标</w:t>
            </w:r>
          </w:p>
        </w:tc>
        <w:tc>
          <w:tcPr>
            <w:tcW w:w="4032" w:type="dxa"/>
            <w:vAlign w:val="center"/>
          </w:tcPr>
          <w:p w14:paraId="60EDE4DE">
            <w:r>
              <w:rPr>
                <w:rFonts w:ascii="黑体" w:hAnsi="黑体" w:eastAsia="黑体"/>
                <w:b/>
                <w:color w:val="FFFFFF"/>
                <w:sz w:val="19"/>
              </w:rPr>
              <w:t>明确边界</w:t>
            </w:r>
          </w:p>
        </w:tc>
      </w:tr>
      <w:tr w14:paraId="30FC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E2DA40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普通用户</w:t>
            </w:r>
          </w:p>
        </w:tc>
        <w:tc>
          <w:tcPr>
            <w:tcW w:w="1728" w:type="dxa"/>
            <w:vAlign w:val="center"/>
          </w:tcPr>
          <w:p w14:paraId="7217B7B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w="3168" w:type="dxa"/>
            <w:vAlign w:val="center"/>
          </w:tcPr>
          <w:p w14:paraId="0A070D4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完成已分配实验并提交报告</w:t>
            </w:r>
          </w:p>
        </w:tc>
        <w:tc>
          <w:tcPr>
            <w:tcW w:w="4032" w:type="dxa"/>
            <w:vAlign w:val="center"/>
          </w:tcPr>
          <w:p w14:paraId="360B588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不能创建模板、选择镜像或调整依赖和资源规格</w:t>
            </w:r>
          </w:p>
        </w:tc>
      </w:tr>
      <w:tr w14:paraId="13B9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45060FC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教师/任务负责人</w:t>
            </w:r>
          </w:p>
        </w:tc>
        <w:tc>
          <w:tcPr>
            <w:tcW w:w="1728" w:type="dxa"/>
            <w:vAlign w:val="center"/>
          </w:tcPr>
          <w:p w14:paraId="354679A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ORG_ADMIN</w:t>
            </w:r>
          </w:p>
        </w:tc>
        <w:tc>
          <w:tcPr>
            <w:tcW w:w="3168" w:type="dxa"/>
            <w:vAlign w:val="center"/>
          </w:tcPr>
          <w:p w14:paraId="385ACCE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创建模板、发布任务、审核报告</w:t>
            </w:r>
          </w:p>
        </w:tc>
        <w:tc>
          <w:tcPr>
            <w:tcW w:w="4032" w:type="dxa"/>
            <w:vAlign w:val="center"/>
          </w:tcPr>
          <w:p w14:paraId="665BC2C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不能原地修改被任务引用的模板版本</w:t>
            </w:r>
          </w:p>
        </w:tc>
      </w:tr>
      <w:tr w14:paraId="154B8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3646D6B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助教/授权教师</w:t>
            </w:r>
          </w:p>
        </w:tc>
        <w:tc>
          <w:tcPr>
            <w:tcW w:w="1728" w:type="dxa"/>
            <w:vAlign w:val="center"/>
          </w:tcPr>
          <w:p w14:paraId="0624C55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ORG_SUB_ADMIN</w:t>
            </w:r>
          </w:p>
        </w:tc>
        <w:tc>
          <w:tcPr>
            <w:tcW w:w="3168" w:type="dxa"/>
            <w:vAlign w:val="center"/>
          </w:tcPr>
          <w:p w14:paraId="6C5E802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在授权范围内发布、查看和审核</w:t>
            </w:r>
          </w:p>
        </w:tc>
        <w:tc>
          <w:tcPr>
            <w:tcW w:w="4032" w:type="dxa"/>
            <w:vAlign w:val="center"/>
          </w:tcPr>
          <w:p w14:paraId="1C730A8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不得超出授权任务和用户范围</w:t>
            </w:r>
          </w:p>
        </w:tc>
      </w:tr>
      <w:tr w14:paraId="75AB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center"/>
          </w:tcPr>
          <w:p w14:paraId="6BA0F97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系统管理员</w:t>
            </w:r>
          </w:p>
        </w:tc>
        <w:tc>
          <w:tcPr>
            <w:tcW w:w="1728" w:type="dxa"/>
            <w:vAlign w:val="center"/>
          </w:tcPr>
          <w:p w14:paraId="6F90F27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SYSTEM_ADMIN</w:t>
            </w:r>
          </w:p>
        </w:tc>
        <w:tc>
          <w:tcPr>
            <w:tcW w:w="3168" w:type="dxa"/>
            <w:vAlign w:val="center"/>
          </w:tcPr>
          <w:p w14:paraId="0E8B7A3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维护运行时、资源、安全与审计</w:t>
            </w:r>
          </w:p>
        </w:tc>
        <w:tc>
          <w:tcPr>
            <w:tcW w:w="4032" w:type="dxa"/>
            <w:vAlign w:val="center"/>
          </w:tcPr>
          <w:p w14:paraId="6D9F407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不代替教师决定实验内容和审核结论</w:t>
            </w:r>
          </w:p>
        </w:tc>
      </w:tr>
    </w:tbl>
    <w:p w14:paraId="44418BF9">
      <w:pPr>
        <w:ind w:left="0" w:leftChars="0" w:firstLine="0" w:firstLineChars="0"/>
      </w:pPr>
    </w:p>
    <w:p w14:paraId="2A5A8912">
      <w:pPr>
        <w:pStyle w:val="3"/>
        <w:bidi w:val="0"/>
      </w:pPr>
      <w:bookmarkStart w:id="8" w:name="_Toc18857"/>
      <w:r>
        <w:t>核心痛点与结论</w:t>
      </w:r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2134"/>
        <w:gridCol w:w="2481"/>
        <w:gridCol w:w="2501"/>
      </w:tblGrid>
      <w:tr w14:paraId="22F6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04379910">
            <w:r>
              <w:rPr>
                <w:rFonts w:ascii="黑体" w:hAnsi="黑体" w:eastAsia="黑体"/>
                <w:b/>
                <w:color w:val="FFFFFF"/>
                <w:sz w:val="19"/>
              </w:rPr>
              <w:t>痛点</w:t>
            </w:r>
          </w:p>
        </w:tc>
        <w:tc>
          <w:tcPr>
            <w:tcW w:w="2880" w:type="dxa"/>
            <w:vAlign w:val="center"/>
          </w:tcPr>
          <w:p w14:paraId="0A646A23">
            <w:r>
              <w:rPr>
                <w:rFonts w:ascii="黑体" w:hAnsi="黑体" w:eastAsia="黑体"/>
                <w:b/>
                <w:color w:val="FFFFFF"/>
                <w:sz w:val="19"/>
              </w:rPr>
              <w:t>现状风险</w:t>
            </w:r>
          </w:p>
        </w:tc>
        <w:tc>
          <w:tcPr>
            <w:tcW w:w="3312" w:type="dxa"/>
            <w:vAlign w:val="center"/>
          </w:tcPr>
          <w:p w14:paraId="6B3B0FAB">
            <w:r>
              <w:rPr>
                <w:rFonts w:ascii="黑体" w:hAnsi="黑体" w:eastAsia="黑体"/>
                <w:b/>
                <w:color w:val="FFFFFF"/>
                <w:sz w:val="19"/>
              </w:rPr>
              <w:t>需求结论</w:t>
            </w:r>
          </w:p>
        </w:tc>
        <w:tc>
          <w:tcPr>
            <w:tcW w:w="3456" w:type="dxa"/>
            <w:vAlign w:val="center"/>
          </w:tcPr>
          <w:p w14:paraId="1D688AF2">
            <w:r>
              <w:rPr>
                <w:rFonts w:ascii="黑体" w:hAnsi="黑体" w:eastAsia="黑体"/>
                <w:b/>
                <w:color w:val="FFFFFF"/>
                <w:sz w:val="19"/>
              </w:rPr>
              <w:t>验收信号</w:t>
            </w:r>
          </w:p>
        </w:tc>
      </w:tr>
      <w:tr w14:paraId="5318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160CEBFF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成员加入受限</w:t>
            </w:r>
          </w:p>
        </w:tc>
        <w:tc>
          <w:tcPr>
            <w:tcW w:w="2880" w:type="dxa"/>
            <w:vAlign w:val="center"/>
          </w:tcPr>
          <w:p w14:paraId="005642E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仅受邀者可进入且教师无法维护成员</w:t>
            </w:r>
          </w:p>
        </w:tc>
        <w:tc>
          <w:tcPr>
            <w:tcW w:w="3312" w:type="dxa"/>
            <w:vAlign w:val="center"/>
          </w:tcPr>
          <w:p w14:paraId="19CD273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用户可申请加入，ORG_ADMIN可审核、直接添加或移除</w:t>
            </w:r>
          </w:p>
        </w:tc>
        <w:tc>
          <w:tcPr>
            <w:tcW w:w="3456" w:type="dxa"/>
            <w:vAlign w:val="center"/>
          </w:tcPr>
          <w:p w14:paraId="2A7FBFC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成员状态、通知、审计和退出/移除阻断可验证</w:t>
            </w:r>
          </w:p>
        </w:tc>
      </w:tr>
      <w:tr w14:paraId="1D01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3E24A23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环境准备困难</w:t>
            </w:r>
          </w:p>
        </w:tc>
        <w:tc>
          <w:tcPr>
            <w:tcW w:w="2880" w:type="dxa"/>
            <w:vAlign w:val="center"/>
          </w:tcPr>
          <w:p w14:paraId="0581159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设备差异和依赖冲突阻塞实验</w:t>
            </w:r>
          </w:p>
        </w:tc>
        <w:tc>
          <w:tcPr>
            <w:tcW w:w="3312" w:type="dxa"/>
            <w:vAlign w:val="center"/>
          </w:tcPr>
          <w:p w14:paraId="3747FC5F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教师冻结环境，平台自动装载</w:t>
            </w:r>
          </w:p>
        </w:tc>
        <w:tc>
          <w:tcPr>
            <w:tcW w:w="3456" w:type="dxa"/>
            <w:vAlign w:val="center"/>
          </w:tcPr>
          <w:p w14:paraId="4944B69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用户无需填写环境参数即可进入工作区</w:t>
            </w:r>
          </w:p>
        </w:tc>
      </w:tr>
      <w:tr w14:paraId="641C6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0B47221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发布范围不清</w:t>
            </w:r>
          </w:p>
        </w:tc>
        <w:tc>
          <w:tcPr>
            <w:tcW w:w="2880" w:type="dxa"/>
            <w:vAlign w:val="center"/>
          </w:tcPr>
          <w:p w14:paraId="019C45D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未授权用户可见或可启动</w:t>
            </w:r>
          </w:p>
        </w:tc>
        <w:tc>
          <w:tcPr>
            <w:tcW w:w="3312" w:type="dxa"/>
            <w:vAlign w:val="center"/>
          </w:tcPr>
          <w:p w14:paraId="5040F9C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任务面向全体用户或指定用户</w:t>
            </w:r>
          </w:p>
        </w:tc>
        <w:tc>
          <w:tcPr>
            <w:tcW w:w="3456" w:type="dxa"/>
            <w:vAlign w:val="center"/>
          </w:tcPr>
          <w:p w14:paraId="620AD0E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列表只返回当前用户的有效分配</w:t>
            </w:r>
          </w:p>
        </w:tc>
      </w:tr>
      <w:tr w14:paraId="130E6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05836FA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重复启动</w:t>
            </w:r>
          </w:p>
        </w:tc>
        <w:tc>
          <w:tcPr>
            <w:tcW w:w="2880" w:type="dxa"/>
            <w:vAlign w:val="center"/>
          </w:tcPr>
          <w:p w14:paraId="6B91767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重复实例占用配额</w:t>
            </w:r>
          </w:p>
        </w:tc>
        <w:tc>
          <w:tcPr>
            <w:tcW w:w="3312" w:type="dxa"/>
            <w:vAlign w:val="center"/>
          </w:tcPr>
          <w:p w14:paraId="270DFAF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启动接口和装载任务强制幂等</w:t>
            </w:r>
          </w:p>
        </w:tc>
        <w:tc>
          <w:tcPr>
            <w:tcW w:w="3456" w:type="dxa"/>
            <w:vAlign w:val="center"/>
          </w:tcPr>
          <w:p w14:paraId="4C87016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刷新、重连和重复点击只对应一个实例</w:t>
            </w:r>
          </w:p>
        </w:tc>
      </w:tr>
      <w:tr w14:paraId="3192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438F6F1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过程不可见</w:t>
            </w:r>
          </w:p>
        </w:tc>
        <w:tc>
          <w:tcPr>
            <w:tcW w:w="2880" w:type="dxa"/>
            <w:vAlign w:val="center"/>
          </w:tcPr>
          <w:p w14:paraId="40B4690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教师无法定位停滞和失败阶段</w:t>
            </w:r>
          </w:p>
        </w:tc>
        <w:tc>
          <w:tcPr>
            <w:tcW w:w="3312" w:type="dxa"/>
            <w:vAlign w:val="center"/>
          </w:tcPr>
          <w:p w14:paraId="10EF69B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按用户展示完整状态与事件</w:t>
            </w:r>
          </w:p>
        </w:tc>
        <w:tc>
          <w:tcPr>
            <w:tcW w:w="3456" w:type="dxa"/>
            <w:vAlign w:val="center"/>
          </w:tcPr>
          <w:p w14:paraId="5A97938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可查看装载、实验、报告、审核、归档和销毁状态</w:t>
            </w:r>
          </w:p>
        </w:tc>
      </w:tr>
      <w:tr w14:paraId="2F3D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7FF2E3B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报告易丢失</w:t>
            </w:r>
          </w:p>
        </w:tc>
        <w:tc>
          <w:tcPr>
            <w:tcW w:w="2880" w:type="dxa"/>
            <w:vAlign w:val="center"/>
          </w:tcPr>
          <w:p w14:paraId="26612CB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正文只保存在临时磁盘</w:t>
            </w:r>
          </w:p>
        </w:tc>
        <w:tc>
          <w:tcPr>
            <w:tcW w:w="3312" w:type="dxa"/>
            <w:vAlign w:val="center"/>
          </w:tcPr>
          <w:p w14:paraId="4AFD59EF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草稿和附件持续写入平台存储</w:t>
            </w:r>
          </w:p>
        </w:tc>
        <w:tc>
          <w:tcPr>
            <w:tcW w:w="3456" w:type="dxa"/>
            <w:vAlign w:val="center"/>
          </w:tcPr>
          <w:p w14:paraId="7CD5F32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实例异常或销毁后仍可恢复报告</w:t>
            </w:r>
          </w:p>
        </w:tc>
      </w:tr>
      <w:tr w14:paraId="7B9D3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2D09C74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审核断链</w:t>
            </w:r>
          </w:p>
        </w:tc>
        <w:tc>
          <w:tcPr>
            <w:tcW w:w="2880" w:type="dxa"/>
            <w:vAlign w:val="center"/>
          </w:tcPr>
          <w:p w14:paraId="0EA86C9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提交即完成且不能退回</w:t>
            </w:r>
          </w:p>
        </w:tc>
        <w:tc>
          <w:tcPr>
            <w:tcW w:w="3312" w:type="dxa"/>
            <w:vAlign w:val="center"/>
          </w:tcPr>
          <w:p w14:paraId="4C64BEF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报告版本化并支持通过或退回</w:t>
            </w:r>
          </w:p>
        </w:tc>
        <w:tc>
          <w:tcPr>
            <w:tcW w:w="3456" w:type="dxa"/>
            <w:vAlign w:val="center"/>
          </w:tcPr>
          <w:p w14:paraId="0C3FE94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历史版本不覆盖，退回后可重新提交</w:t>
            </w:r>
          </w:p>
        </w:tc>
      </w:tr>
      <w:tr w14:paraId="2082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Align w:val="center"/>
          </w:tcPr>
          <w:p w14:paraId="297B83B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回收风险</w:t>
            </w:r>
          </w:p>
        </w:tc>
        <w:tc>
          <w:tcPr>
            <w:tcW w:w="2880" w:type="dxa"/>
            <w:vAlign w:val="center"/>
          </w:tcPr>
          <w:p w14:paraId="5A1723F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先销毁后归档导致成果丢失</w:t>
            </w:r>
          </w:p>
        </w:tc>
        <w:tc>
          <w:tcPr>
            <w:tcW w:w="3312" w:type="dxa"/>
            <w:vAlign w:val="center"/>
          </w:tcPr>
          <w:p w14:paraId="3F90460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归档确认后才销毁并释放配额</w:t>
            </w:r>
          </w:p>
        </w:tc>
        <w:tc>
          <w:tcPr>
            <w:tcW w:w="3456" w:type="dxa"/>
            <w:vAlign w:val="center"/>
          </w:tcPr>
          <w:p w14:paraId="633EB5A4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失败可重试和补偿，最终状态收敛</w:t>
            </w:r>
          </w:p>
        </w:tc>
      </w:tr>
    </w:tbl>
    <w:p w14:paraId="6AB1790D">
      <w:pPr>
        <w:ind w:left="0" w:leftChars="0" w:firstLine="0" w:firstLineChars="0"/>
      </w:pPr>
    </w:p>
    <w:p w14:paraId="567D2B85">
      <w:pPr>
        <w:pStyle w:val="2"/>
        <w:bidi w:val="0"/>
        <w:jc w:val="left"/>
      </w:pPr>
      <w:bookmarkStart w:id="9" w:name="_Toc25793"/>
      <w:r>
        <w:t>产品定位与范围</w:t>
      </w:r>
      <w:bookmarkEnd w:id="9"/>
    </w:p>
    <w:p w14:paraId="5CFDBF61">
      <w:pPr>
        <w:pStyle w:val="3"/>
        <w:bidi w:val="0"/>
        <w:jc w:val="left"/>
      </w:pPr>
      <w:bookmarkStart w:id="10" w:name="_Toc22335"/>
      <w:r>
        <w:t>产品定位</w:t>
      </w:r>
      <w:bookmarkEnd w:id="10"/>
    </w:p>
    <w:p w14:paraId="296D73B5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平台定位为单团队使用的多Agent智能虚拟化实验平台。教师通过不可变模板版本交付实验内容和运行环境，普通用户通过浏览器使用平台自动准备的容器或虚拟机，在统一工作区完成操作、保存过程、撰写报告并接受审核。Agent用于解释手册、分析错误和辅助报告，不改变权限边界。</w:t>
      </w:r>
    </w:p>
    <w:p w14:paraId="2C3DE806">
      <w:pPr>
        <w:pStyle w:val="3"/>
        <w:bidi w:val="0"/>
        <w:jc w:val="left"/>
      </w:pPr>
      <w:bookmarkStart w:id="11" w:name="_Toc12253"/>
      <w:r>
        <w:t>首期范围</w:t>
      </w:r>
      <w:bookmarkEnd w:id="11"/>
    </w:p>
    <w:p w14:paraId="44D67F39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模板及版本、实验手册和材料、任务发布与用户分配。</w:t>
      </w:r>
    </w:p>
    <w:p w14:paraId="164D185B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容器与虚拟机统一运行时接入、分阶段装载、健康检查和短期访问凭据。</w:t>
      </w:r>
    </w:p>
    <w:p w14:paraId="0A07212D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WebIDE、Notebook、终端、Web预览或浏览器远程桌面等任务内工作区。</w:t>
      </w:r>
    </w:p>
    <w:p w14:paraId="34EF75DC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报告草稿、附件、版本、提交、自动评测、人工审核、退回重提和最终归档。</w:t>
      </w:r>
    </w:p>
    <w:p w14:paraId="28BE51C9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固定RBAC、配额、安全策略、审计、通知、重试和补偿任务。</w:t>
      </w:r>
    </w:p>
    <w:p w14:paraId="4A220103">
      <w:pPr>
        <w:pStyle w:val="3"/>
        <w:bidi w:val="0"/>
        <w:jc w:val="left"/>
      </w:pPr>
      <w:bookmarkStart w:id="12" w:name="_Toc25453"/>
      <w:r>
        <w:t>项目边界</w:t>
      </w:r>
      <w:bookmarkEnd w:id="12"/>
    </w:p>
    <w:p w14:paraId="172A74C0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平台仅服务一个团队单位，不建设多层组织体系。</w:t>
      </w:r>
    </w:p>
    <w:p w14:paraId="1277A8A6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平台角色固定为四种，不提供角色新增、删除或自定义权限矩阵。</w:t>
      </w:r>
    </w:p>
    <w:p w14:paraId="5E62F736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普通用户不能自由浏览模板并据此创建实例，也不能改变教师冻结的运行方案。</w:t>
      </w:r>
    </w:p>
    <w:p w14:paraId="2A18A9BC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浏览器不直接访问容器端口、虚拟机管理接口或对象存储管理凭据。</w:t>
      </w:r>
    </w:p>
    <w:p w14:paraId="617E85CC">
      <w:pPr>
        <w:spacing w:line="324" w:lineRule="auto"/>
        <w:ind w:left="0" w:leftChars="0" w:firstLine="0" w:firstLineChars="0"/>
      </w:pPr>
      <w:r>
        <w:rPr>
          <w:rFonts w:ascii="宋体" w:hAnsi="宋体" w:eastAsia="宋体"/>
          <w:sz w:val="21"/>
        </w:rPr>
        <w:t>• 社交、公开模板交易、自由资源市场和跨团队协作不属于首期范围。</w:t>
      </w:r>
    </w:p>
    <w:p w14:paraId="60D1D590">
      <w:pPr>
        <w:pStyle w:val="2"/>
        <w:bidi w:val="0"/>
        <w:jc w:val="left"/>
      </w:pPr>
      <w:bookmarkStart w:id="13" w:name="_Toc26484"/>
      <w:r>
        <w:t>核心业务需求</w:t>
      </w:r>
      <w:bookmarkEnd w:id="13"/>
    </w:p>
    <w:p w14:paraId="1BBA28CC">
      <w:pPr>
        <w:pStyle w:val="3"/>
        <w:bidi w:val="0"/>
        <w:jc w:val="left"/>
      </w:pPr>
      <w:bookmarkStart w:id="14" w:name="_Toc14958"/>
      <w:r>
        <w:t>端到端主流程</w:t>
      </w:r>
      <w:bookmarkEnd w:id="14"/>
    </w:p>
    <w:p w14:paraId="3F641BB8">
      <w:pPr>
        <w:jc w:val="center"/>
        <w:rPr>
          <w:rFonts w:ascii="等线" w:hAnsi="等线" w:eastAsia="等线"/>
          <w:b w:val="0"/>
          <w:sz w:val="21"/>
        </w:rPr>
      </w:pPr>
      <w:r>
        <w:rPr>
          <w:rFonts w:ascii="等线" w:hAnsi="等线" w:eastAsia="等线"/>
          <w:b/>
          <w:sz w:val="21"/>
        </w:rPr>
        <w:t>用户申请加入/教师直接添加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成员成为ACTIVE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教师创建模板和实验手册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发布任务并指定ACTIVE用户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用户进入已分配任务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平台自动加载容器或虚拟机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完成实验并保存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撰写并提交报告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教师通过或退回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成果归档</w:t>
      </w:r>
      <w:r>
        <w:br w:type="textWrapping"/>
      </w:r>
      <w:r>
        <w:t>↓</w:t>
      </w:r>
      <w:r>
        <w:br w:type="textWrapping"/>
      </w:r>
      <w:r>
        <w:rPr>
          <w:rFonts w:ascii="等线" w:hAnsi="等线" w:eastAsia="等线"/>
          <w:b w:val="0"/>
          <w:sz w:val="21"/>
        </w:rPr>
        <w:t>实例销毁并释放配额</w:t>
      </w:r>
    </w:p>
    <w:p w14:paraId="7B1A1EE6">
      <w:pPr>
        <w:jc w:val="center"/>
        <w:rPr>
          <w:rFonts w:ascii="等线" w:hAnsi="等线" w:eastAsia="等线"/>
          <w:b w:val="0"/>
          <w:sz w:val="21"/>
        </w:rPr>
      </w:pPr>
    </w:p>
    <w:p w14:paraId="5CFA0BFB">
      <w:pPr>
        <w:jc w:val="center"/>
        <w:rPr>
          <w:rFonts w:ascii="等线" w:hAnsi="等线" w:eastAsia="等线"/>
          <w:b w:val="0"/>
          <w:sz w:val="21"/>
        </w:rPr>
      </w:pPr>
    </w:p>
    <w:p w14:paraId="552C45CD">
      <w:pPr>
        <w:jc w:val="center"/>
        <w:rPr>
          <w:rFonts w:ascii="等线" w:hAnsi="等线" w:eastAsia="等线"/>
          <w:b w:val="0"/>
          <w:sz w:val="21"/>
        </w:rPr>
      </w:pPr>
    </w:p>
    <w:p w14:paraId="01179CBF">
      <w:pPr>
        <w:jc w:val="center"/>
        <w:rPr>
          <w:rFonts w:ascii="等线" w:hAnsi="等线" w:eastAsia="等线"/>
          <w:b w:val="0"/>
          <w:sz w:val="21"/>
        </w:rPr>
      </w:pPr>
    </w:p>
    <w:p w14:paraId="322581F1">
      <w:pPr>
        <w:pStyle w:val="3"/>
        <w:bidi w:val="0"/>
        <w:jc w:val="left"/>
      </w:pPr>
      <w:bookmarkStart w:id="15" w:name="_Toc12988"/>
      <w:r>
        <w:t>三端功能结论</w:t>
      </w:r>
      <w:bookmarkEnd w:id="15"/>
    </w:p>
    <w:p w14:paraId="65237337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用户端：我的团队、实验列表、任务详情、环境加载、云端工作区、Agent、报告和成果记录形成连续路径。</w:t>
      </w:r>
    </w:p>
    <w:p w14:paraId="269844B6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教师端：成员管理、模板版本、发布预览、指定ACTIVE用户、过程明细、报告审核和结果导出形成管理闭环。</w:t>
      </w:r>
    </w:p>
    <w:p w14:paraId="13CD7B80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系统端：固定身份、运行时、镜像、配额、安全、异常实例、补偿任务和审计形成治理闭环。</w:t>
      </w:r>
    </w:p>
    <w:p w14:paraId="5EA7B176">
      <w:pPr>
        <w:pStyle w:val="2"/>
        <w:bidi w:val="0"/>
        <w:jc w:val="left"/>
        <w:rPr>
          <w:rFonts w:hint="eastAsia" w:ascii="黑体" w:hAnsi="黑体" w:eastAsia="黑体" w:cs="黑体"/>
        </w:rPr>
      </w:pPr>
      <w:bookmarkStart w:id="16" w:name="_Toc2762"/>
      <w:r>
        <w:rPr>
          <w:rFonts w:hint="eastAsia" w:ascii="黑体" w:hAnsi="黑体" w:eastAsia="黑体" w:cs="黑体"/>
        </w:rPr>
        <w:t>UI与业务闭环</w:t>
      </w:r>
      <w:bookmarkEnd w:id="16"/>
      <w:bookmarkStart w:id="19" w:name="_GoBack"/>
      <w:bookmarkEnd w:id="1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859"/>
        <w:gridCol w:w="1607"/>
        <w:gridCol w:w="2098"/>
        <w:gridCol w:w="1775"/>
      </w:tblGrid>
      <w:tr w14:paraId="36A4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0C9ADFBF"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w="2592" w:type="dxa"/>
            <w:vAlign w:val="center"/>
          </w:tcPr>
          <w:p w14:paraId="1B2DB293">
            <w:r>
              <w:rPr>
                <w:rFonts w:ascii="黑体" w:hAnsi="黑体" w:eastAsia="黑体"/>
                <w:b/>
                <w:color w:val="FFFFFF"/>
                <w:sz w:val="19"/>
              </w:rPr>
              <w:t>必备页面/区域</w:t>
            </w:r>
          </w:p>
        </w:tc>
        <w:tc>
          <w:tcPr>
            <w:tcW w:w="2160" w:type="dxa"/>
            <w:vAlign w:val="center"/>
          </w:tcPr>
          <w:p w14:paraId="0782976E">
            <w:r>
              <w:rPr>
                <w:rFonts w:ascii="黑体" w:hAnsi="黑体" w:eastAsia="黑体"/>
                <w:b/>
                <w:color w:val="FFFFFF"/>
                <w:sz w:val="19"/>
              </w:rPr>
              <w:t>用户动作</w:t>
            </w:r>
          </w:p>
        </w:tc>
        <w:tc>
          <w:tcPr>
            <w:tcW w:w="2880" w:type="dxa"/>
            <w:vAlign w:val="center"/>
          </w:tcPr>
          <w:p w14:paraId="7460B995">
            <w:r>
              <w:rPr>
                <w:rFonts w:ascii="黑体" w:hAnsi="黑体" w:eastAsia="黑体"/>
                <w:b/>
                <w:color w:val="FFFFFF"/>
                <w:sz w:val="19"/>
              </w:rPr>
              <w:t>状态反馈</w:t>
            </w:r>
          </w:p>
        </w:tc>
        <w:tc>
          <w:tcPr>
            <w:tcW w:w="2448" w:type="dxa"/>
            <w:vAlign w:val="center"/>
          </w:tcPr>
          <w:p w14:paraId="54C80D69">
            <w:r>
              <w:rPr>
                <w:rFonts w:ascii="黑体" w:hAnsi="黑体" w:eastAsia="黑体"/>
                <w:b/>
                <w:color w:val="FFFFFF"/>
                <w:sz w:val="19"/>
              </w:rPr>
              <w:t>数据落点</w:t>
            </w:r>
          </w:p>
        </w:tc>
      </w:tr>
      <w:tr w14:paraId="1DA8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03C12AA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任务发现</w:t>
            </w:r>
          </w:p>
        </w:tc>
        <w:tc>
          <w:tcPr>
            <w:tcW w:w="2592" w:type="dxa"/>
            <w:vAlign w:val="center"/>
          </w:tcPr>
          <w:p w14:paraId="21980EA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实验列表/任务详情</w:t>
            </w:r>
          </w:p>
        </w:tc>
        <w:tc>
          <w:tcPr>
            <w:tcW w:w="2160" w:type="dxa"/>
            <w:vAlign w:val="center"/>
          </w:tcPr>
          <w:p w14:paraId="32F49C3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查看、进入</w:t>
            </w:r>
          </w:p>
        </w:tc>
        <w:tc>
          <w:tcPr>
            <w:tcW w:w="2880" w:type="dxa"/>
            <w:vAlign w:val="center"/>
          </w:tcPr>
          <w:p w14:paraId="62CB721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空、不可进入、可进入</w:t>
            </w:r>
          </w:p>
        </w:tc>
        <w:tc>
          <w:tcPr>
            <w:tcW w:w="2448" w:type="dxa"/>
            <w:vAlign w:val="center"/>
          </w:tcPr>
          <w:p w14:paraId="6C3C0FE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任务与分配</w:t>
            </w:r>
          </w:p>
        </w:tc>
      </w:tr>
      <w:tr w14:paraId="4683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5A20AE21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环境装载</w:t>
            </w:r>
          </w:p>
        </w:tc>
        <w:tc>
          <w:tcPr>
            <w:tcW w:w="2592" w:type="dxa"/>
            <w:vAlign w:val="center"/>
          </w:tcPr>
          <w:p w14:paraId="7458D98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进度页/失败详情</w:t>
            </w:r>
          </w:p>
        </w:tc>
        <w:tc>
          <w:tcPr>
            <w:tcW w:w="2160" w:type="dxa"/>
            <w:vAlign w:val="center"/>
          </w:tcPr>
          <w:p w14:paraId="0BEE633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等待、重试、取消</w:t>
            </w:r>
          </w:p>
        </w:tc>
        <w:tc>
          <w:tcPr>
            <w:tcW w:w="2880" w:type="dxa"/>
            <w:vAlign w:val="center"/>
          </w:tcPr>
          <w:p w14:paraId="3E2DDAE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步骤、进度、错误、重试性</w:t>
            </w:r>
          </w:p>
        </w:tc>
        <w:tc>
          <w:tcPr>
            <w:tcW w:w="2448" w:type="dxa"/>
            <w:vAlign w:val="center"/>
          </w:tcPr>
          <w:p w14:paraId="0EBF298F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实例、装载任务与步骤</w:t>
            </w:r>
          </w:p>
        </w:tc>
      </w:tr>
      <w:tr w14:paraId="15D3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2FDB4AC7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实验执行</w:t>
            </w:r>
          </w:p>
        </w:tc>
        <w:tc>
          <w:tcPr>
            <w:tcW w:w="2592" w:type="dxa"/>
            <w:vAlign w:val="center"/>
          </w:tcPr>
          <w:p w14:paraId="7057A32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云端工作区</w:t>
            </w:r>
          </w:p>
        </w:tc>
        <w:tc>
          <w:tcPr>
            <w:tcW w:w="2160" w:type="dxa"/>
            <w:vAlign w:val="center"/>
          </w:tcPr>
          <w:p w14:paraId="185F032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编辑、运行、保存、求助</w:t>
            </w:r>
          </w:p>
        </w:tc>
        <w:tc>
          <w:tcPr>
            <w:tcW w:w="2880" w:type="dxa"/>
            <w:vAlign w:val="center"/>
          </w:tcPr>
          <w:p w14:paraId="68E1BF58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保存、运行、资源和错误</w:t>
            </w:r>
          </w:p>
        </w:tc>
        <w:tc>
          <w:tcPr>
            <w:tcW w:w="2448" w:type="dxa"/>
            <w:vAlign w:val="center"/>
          </w:tcPr>
          <w:p w14:paraId="2147BFD0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事件、记录、产物</w:t>
            </w:r>
          </w:p>
        </w:tc>
      </w:tr>
      <w:tr w14:paraId="4CBB8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19E8A91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报告撰写</w:t>
            </w:r>
          </w:p>
        </w:tc>
        <w:tc>
          <w:tcPr>
            <w:tcW w:w="2592" w:type="dxa"/>
            <w:vAlign w:val="center"/>
          </w:tcPr>
          <w:p w14:paraId="4B97725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报告编辑器</w:t>
            </w:r>
          </w:p>
        </w:tc>
        <w:tc>
          <w:tcPr>
            <w:tcW w:w="2160" w:type="dxa"/>
            <w:vAlign w:val="center"/>
          </w:tcPr>
          <w:p w14:paraId="445B22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保存、预览、上传、提交</w:t>
            </w:r>
          </w:p>
        </w:tc>
        <w:tc>
          <w:tcPr>
            <w:tcW w:w="2880" w:type="dxa"/>
            <w:vAlign w:val="center"/>
          </w:tcPr>
          <w:p w14:paraId="45E6BBD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版本、保存时间、校验错误</w:t>
            </w:r>
          </w:p>
        </w:tc>
        <w:tc>
          <w:tcPr>
            <w:tcW w:w="2448" w:type="dxa"/>
            <w:vAlign w:val="center"/>
          </w:tcPr>
          <w:p w14:paraId="7585D65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报告、版本、附件</w:t>
            </w:r>
          </w:p>
        </w:tc>
      </w:tr>
      <w:tr w14:paraId="7DC7E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3D0E72B9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教师审核</w:t>
            </w:r>
          </w:p>
        </w:tc>
        <w:tc>
          <w:tcPr>
            <w:tcW w:w="2592" w:type="dxa"/>
            <w:vAlign w:val="center"/>
          </w:tcPr>
          <w:p w14:paraId="00095EFC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审核工作台</w:t>
            </w:r>
          </w:p>
        </w:tc>
        <w:tc>
          <w:tcPr>
            <w:tcW w:w="2160" w:type="dxa"/>
            <w:vAlign w:val="center"/>
          </w:tcPr>
          <w:p w14:paraId="7C9C1013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通过、退回</w:t>
            </w:r>
          </w:p>
        </w:tc>
        <w:tc>
          <w:tcPr>
            <w:tcW w:w="2880" w:type="dxa"/>
            <w:vAlign w:val="center"/>
          </w:tcPr>
          <w:p w14:paraId="08B2BB3B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待审、通过、退回</w:t>
            </w:r>
          </w:p>
        </w:tc>
        <w:tc>
          <w:tcPr>
            <w:tcW w:w="2448" w:type="dxa"/>
            <w:vAlign w:val="center"/>
          </w:tcPr>
          <w:p w14:paraId="2EB9B92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审核记录与通知</w:t>
            </w:r>
          </w:p>
        </w:tc>
      </w:tr>
      <w:tr w14:paraId="6F8A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vAlign w:val="center"/>
          </w:tcPr>
          <w:p w14:paraId="7761306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流程收尾</w:t>
            </w:r>
          </w:p>
        </w:tc>
        <w:tc>
          <w:tcPr>
            <w:tcW w:w="2592" w:type="dxa"/>
            <w:vAlign w:val="center"/>
          </w:tcPr>
          <w:p w14:paraId="08881075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归档与销毁时间线</w:t>
            </w:r>
          </w:p>
        </w:tc>
        <w:tc>
          <w:tcPr>
            <w:tcW w:w="2160" w:type="dxa"/>
            <w:vAlign w:val="center"/>
          </w:tcPr>
          <w:p w14:paraId="6F53BEF6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查看、导出</w:t>
            </w:r>
          </w:p>
        </w:tc>
        <w:tc>
          <w:tcPr>
            <w:tcW w:w="2880" w:type="dxa"/>
            <w:vAlign w:val="center"/>
          </w:tcPr>
          <w:p w14:paraId="6B8EBE7A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归档中、销毁中、失败、完成</w:t>
            </w:r>
          </w:p>
        </w:tc>
        <w:tc>
          <w:tcPr>
            <w:tcW w:w="2448" w:type="dxa"/>
            <w:vAlign w:val="center"/>
          </w:tcPr>
          <w:p w14:paraId="2D62AF5F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归档、补偿、审计</w:t>
            </w:r>
          </w:p>
        </w:tc>
      </w:tr>
    </w:tbl>
    <w:p w14:paraId="4D96175B"/>
    <w:p w14:paraId="0434CD85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闭环判定规则：每个关键动作必须能映射到可见入口、授权规则、接口、状态、数据实体和验收结果；无入口的后端能力、无状态的异步操作、无数据落点的UI字段以及无恢复路径的失败状态均视为需求不完整。</w:t>
      </w:r>
    </w:p>
    <w:p w14:paraId="3F0F345E">
      <w:pPr>
        <w:pStyle w:val="2"/>
        <w:bidi w:val="0"/>
        <w:jc w:val="left"/>
      </w:pPr>
      <w:bookmarkStart w:id="17" w:name="_Toc16810"/>
      <w:r>
        <w:t>非功能与验收约束</w:t>
      </w:r>
      <w:bookmarkEnd w:id="17"/>
    </w:p>
    <w:p w14:paraId="0EEB78D5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安全：前端路由、API和数据查询三层落实固定RBAC；访问凭据短期有效且不保存明文；高风险Agent动作需审批和审计。</w:t>
      </w:r>
    </w:p>
    <w:p w14:paraId="15E83BE9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可靠性：启动、提交和结束接口接受幂等键；异步流程支持重试、超时、补偿和最终一致性。</w:t>
      </w:r>
    </w:p>
    <w:p w14:paraId="14067373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可观测性：事件携带assignment_id、instance_id和trace_id；关键日志脱敏并可检索。</w:t>
      </w:r>
    </w:p>
    <w:p w14:paraId="486F5AA3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可用性：SSE或WebSocket提供实时进度，断线可重连，轮询可降级；空、加载、失败和无权限状态均有反馈。</w:t>
      </w:r>
    </w:p>
    <w:p w14:paraId="407DC392">
      <w:pPr>
        <w:spacing w:line="324" w:lineRule="auto"/>
        <w:ind w:left="420" w:hanging="210"/>
      </w:pPr>
      <w:r>
        <w:rPr>
          <w:rFonts w:ascii="宋体" w:hAnsi="宋体" w:eastAsia="宋体"/>
          <w:sz w:val="21"/>
        </w:rPr>
        <w:t>• 可访问性：Agent控件、图标按钮、Tab、弹窗和表单支持键盘焦点、文本标签和非颜色状态表达。</w:t>
      </w:r>
    </w:p>
    <w:p w14:paraId="3D39461C">
      <w:pPr>
        <w:pStyle w:val="2"/>
        <w:bidi w:val="0"/>
      </w:pPr>
      <w:bookmarkStart w:id="18" w:name="_Toc6688"/>
      <w:r>
        <w:t>调研结论</w:t>
      </w:r>
      <w:bookmarkEnd w:id="18"/>
    </w:p>
    <w:p w14:paraId="0B5DB7EC">
      <w:pPr>
        <w:spacing w:line="360" w:lineRule="auto"/>
        <w:ind w:firstLine="4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项目需求已收敛为教师控制内容和环境、平台自动交付、用户专注实验、教师闭环审核、系统可靠归档回收的模式。任何允许普通用户创建模板、选择运行环境或跳过报告审核的描述均不再作为开发依据。</w:t>
      </w:r>
    </w:p>
    <w:p w14:paraId="48B70CF2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567F1F02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5B105A35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5F4C7068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187DA187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6809574A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3E342CBD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0B67CC2D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6ABC1B3E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18CE0A73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5A31EC48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57C24027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56145961">
      <w:pPr>
        <w:spacing w:line="360" w:lineRule="auto"/>
        <w:ind w:firstLine="420"/>
        <w:rPr>
          <w:rFonts w:ascii="宋体" w:hAnsi="宋体" w:eastAsia="宋体"/>
          <w:sz w:val="21"/>
        </w:rPr>
      </w:pPr>
    </w:p>
    <w:p w14:paraId="47BAF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jc w:val="both"/>
        <w:textAlignment w:val="auto"/>
        <w:rPr>
          <w:rFonts w:hint="eastAsia" w:ascii="宋体" w:hAnsi="宋体" w:eastAsia="宋体" w:cs="黑体"/>
          <w:sz w:val="84"/>
          <w:szCs w:val="84"/>
          <w:lang w:val="en-US" w:eastAsia="zh-CN"/>
        </w:rPr>
      </w:pPr>
    </w:p>
    <w:p w14:paraId="4E15D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jc w:val="both"/>
        <w:textAlignment w:val="auto"/>
        <w:rPr>
          <w:rFonts w:hint="eastAsia" w:ascii="宋体" w:hAnsi="宋体" w:eastAsia="宋体" w:cs="黑体"/>
          <w:sz w:val="84"/>
          <w:szCs w:val="84"/>
          <w:lang w:val="en-US" w:eastAsia="zh-CN"/>
        </w:rPr>
      </w:pPr>
    </w:p>
    <w:p w14:paraId="62EC9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97" w:beforeLines="800"/>
        <w:ind w:left="0" w:leftChars="0" w:firstLine="0" w:firstLineChars="0"/>
        <w:jc w:val="center"/>
        <w:textAlignment w:val="auto"/>
        <w:rPr>
          <w:rFonts w:hint="default"/>
          <w:sz w:val="84"/>
          <w:szCs w:val="84"/>
          <w:lang w:val="en-US" w:eastAsia="zh-CN"/>
        </w:rPr>
      </w:pPr>
      <w:r>
        <w:rPr>
          <w:rFonts w:hint="eastAsia" w:ascii="宋体" w:hAnsi="宋体" w:eastAsia="宋体" w:cs="黑体"/>
          <w:sz w:val="84"/>
          <w:szCs w:val="84"/>
          <w:lang w:val="en-US" w:eastAsia="zh-CN"/>
        </w:rPr>
        <w:t>需求</w:t>
      </w:r>
      <w:r>
        <w:rPr>
          <w:rFonts w:hint="eastAsia" w:ascii="宋体" w:hAnsi="宋体" w:cs="黑体"/>
          <w:sz w:val="84"/>
          <w:szCs w:val="84"/>
          <w:lang w:val="en-US" w:eastAsia="zh-CN"/>
        </w:rPr>
        <w:t>调研</w:t>
      </w:r>
      <w:r>
        <w:rPr>
          <w:rFonts w:hint="eastAsia" w:ascii="宋体" w:hAnsi="宋体" w:eastAsia="宋体" w:cs="黑体"/>
          <w:sz w:val="84"/>
          <w:szCs w:val="84"/>
          <w:lang w:val="en-US" w:eastAsia="zh-CN"/>
        </w:rPr>
        <w:t>报告</w:t>
      </w:r>
    </w:p>
    <w:p w14:paraId="2E315B03">
      <w:pPr>
        <w:bidi w:val="0"/>
        <w:rPr>
          <w:rFonts w:hint="eastAsia"/>
        </w:rPr>
      </w:pPr>
    </w:p>
    <w:p w14:paraId="5954B0C7">
      <w:pPr>
        <w:bidi w:val="0"/>
        <w:rPr>
          <w:rFonts w:hint="eastAsia"/>
        </w:rPr>
      </w:pPr>
    </w:p>
    <w:p w14:paraId="43D9468D">
      <w:pPr>
        <w:bidi w:val="0"/>
        <w:rPr>
          <w:rFonts w:hint="eastAsia"/>
        </w:rPr>
      </w:pPr>
    </w:p>
    <w:p w14:paraId="4797FB42">
      <w:pPr>
        <w:bidi w:val="0"/>
        <w:rPr>
          <w:rFonts w:hint="eastAsia"/>
        </w:rPr>
      </w:pPr>
    </w:p>
    <w:p w14:paraId="1EBAD7D6">
      <w:pPr>
        <w:bidi w:val="0"/>
        <w:rPr>
          <w:rFonts w:hint="eastAsia"/>
        </w:rPr>
      </w:pPr>
    </w:p>
    <w:p w14:paraId="20FBF1F9">
      <w:pPr>
        <w:bidi w:val="0"/>
      </w:pPr>
    </w:p>
    <w:p w14:paraId="3A453803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</w:pPr>
    </w:p>
    <w:p w14:paraId="330B9461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right"/>
        <w:textAlignment w:val="auto"/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</w:pPr>
    </w:p>
    <w:p w14:paraId="192D8A9F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right"/>
        <w:textAlignment w:val="auto"/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</w:pPr>
    </w:p>
    <w:p w14:paraId="659B79FC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right"/>
        <w:textAlignment w:val="auto"/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</w:pPr>
    </w:p>
    <w:p w14:paraId="6AC63F76">
      <w:p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right"/>
        <w:textAlignment w:val="auto"/>
        <w:rPr>
          <w:rFonts w:ascii="宋体" w:hAnsi="宋体" w:eastAsia="宋体"/>
          <w:sz w:val="21"/>
        </w:rPr>
      </w:pPr>
      <w:r>
        <w:rPr>
          <w:rFonts w:hint="eastAsia" w:ascii="宋体" w:hAnsi="宋体" w:cs="Times New Roman" w:eastAsiaTheme="minorEastAsia"/>
          <w:sz w:val="21"/>
          <w:szCs w:val="21"/>
          <w:lang w:val="en-US" w:eastAsia="zh-CN"/>
        </w:rPr>
        <w:t>贵州慧科未来科技有限公司</w:t>
      </w:r>
    </w:p>
    <w:sectPr>
      <w:footerReference r:id="rId7" w:type="default"/>
      <w:pgSz w:w="11906" w:h="16838"/>
      <w:pgMar w:top="1440" w:right="1587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AF85A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23823E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23823E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6F9D2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52E3BD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52E3BD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7490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49E01D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9E01D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91C132">
                          <w:pPr>
                            <w:pStyle w:val="11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91C132">
                    <w:pPr>
                      <w:pStyle w:val="11"/>
                      <w:rPr>
                        <w:rFonts w:ascii="宋体" w:hAnsi="宋体" w:eastAsia="宋体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8AD82"/>
    <w:multiLevelType w:val="multilevel"/>
    <w:tmpl w:val="7418AD82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黑体" w:hAnsi="黑体" w:eastAsia="黑体" w:cs="黑体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黑体" w:hAnsi="黑体" w:eastAsia="黑体" w:cs="黑体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16B"/>
    <w:rsid w:val="000625B1"/>
    <w:rsid w:val="000C352D"/>
    <w:rsid w:val="0063211C"/>
    <w:rsid w:val="00704336"/>
    <w:rsid w:val="0077212D"/>
    <w:rsid w:val="00866F25"/>
    <w:rsid w:val="00944339"/>
    <w:rsid w:val="00D2216B"/>
    <w:rsid w:val="00DA6167"/>
    <w:rsid w:val="01E8398D"/>
    <w:rsid w:val="01F61FED"/>
    <w:rsid w:val="02EB3D8C"/>
    <w:rsid w:val="04865C14"/>
    <w:rsid w:val="06056A71"/>
    <w:rsid w:val="0874698D"/>
    <w:rsid w:val="0BA8400D"/>
    <w:rsid w:val="0BCD26E6"/>
    <w:rsid w:val="0CA3768B"/>
    <w:rsid w:val="0EF569B5"/>
    <w:rsid w:val="109F16BC"/>
    <w:rsid w:val="10B91127"/>
    <w:rsid w:val="14644BF4"/>
    <w:rsid w:val="15374478"/>
    <w:rsid w:val="15544053"/>
    <w:rsid w:val="161151A9"/>
    <w:rsid w:val="175E2CE2"/>
    <w:rsid w:val="177B0D14"/>
    <w:rsid w:val="1AC13063"/>
    <w:rsid w:val="1D4D5CD3"/>
    <w:rsid w:val="1D7A6E97"/>
    <w:rsid w:val="1FFA45A3"/>
    <w:rsid w:val="26BE165B"/>
    <w:rsid w:val="26BE72FA"/>
    <w:rsid w:val="29226D1A"/>
    <w:rsid w:val="2B220517"/>
    <w:rsid w:val="2BA31D75"/>
    <w:rsid w:val="2CF32846"/>
    <w:rsid w:val="2DAF4B82"/>
    <w:rsid w:val="2EED3C29"/>
    <w:rsid w:val="308D0D71"/>
    <w:rsid w:val="32731C68"/>
    <w:rsid w:val="33EE2736"/>
    <w:rsid w:val="373D3938"/>
    <w:rsid w:val="37C70AC5"/>
    <w:rsid w:val="38ED79A0"/>
    <w:rsid w:val="39CB1774"/>
    <w:rsid w:val="39FE05A6"/>
    <w:rsid w:val="3B1F14B2"/>
    <w:rsid w:val="3D276070"/>
    <w:rsid w:val="3D547EC8"/>
    <w:rsid w:val="3FFF0C57"/>
    <w:rsid w:val="41351EE6"/>
    <w:rsid w:val="41562F99"/>
    <w:rsid w:val="42772D26"/>
    <w:rsid w:val="46C666E9"/>
    <w:rsid w:val="472E0158"/>
    <w:rsid w:val="47D93B3C"/>
    <w:rsid w:val="4A1B48DF"/>
    <w:rsid w:val="4D2A6CCB"/>
    <w:rsid w:val="4D46795E"/>
    <w:rsid w:val="4D971BF3"/>
    <w:rsid w:val="50222E67"/>
    <w:rsid w:val="50373B18"/>
    <w:rsid w:val="50AE21AF"/>
    <w:rsid w:val="579B109E"/>
    <w:rsid w:val="57D141F5"/>
    <w:rsid w:val="57F8000E"/>
    <w:rsid w:val="580660F5"/>
    <w:rsid w:val="58EB36CF"/>
    <w:rsid w:val="59004ED0"/>
    <w:rsid w:val="593908DE"/>
    <w:rsid w:val="59666BF3"/>
    <w:rsid w:val="59F45BFB"/>
    <w:rsid w:val="5DAD3649"/>
    <w:rsid w:val="5E9A12A6"/>
    <w:rsid w:val="5F3D4193"/>
    <w:rsid w:val="5F573FDC"/>
    <w:rsid w:val="5FD00B91"/>
    <w:rsid w:val="609603C4"/>
    <w:rsid w:val="609D4C5C"/>
    <w:rsid w:val="60B67994"/>
    <w:rsid w:val="630F26B0"/>
    <w:rsid w:val="63890DC6"/>
    <w:rsid w:val="64D4595F"/>
    <w:rsid w:val="66B63E01"/>
    <w:rsid w:val="67DF719F"/>
    <w:rsid w:val="6C9708D1"/>
    <w:rsid w:val="6D6E445C"/>
    <w:rsid w:val="6FCF38F2"/>
    <w:rsid w:val="7179262D"/>
    <w:rsid w:val="733A2832"/>
    <w:rsid w:val="74B9560C"/>
    <w:rsid w:val="75357D54"/>
    <w:rsid w:val="762A6F04"/>
    <w:rsid w:val="770C2D36"/>
    <w:rsid w:val="77D846FA"/>
    <w:rsid w:val="780526AA"/>
    <w:rsid w:val="79674B88"/>
    <w:rsid w:val="7A89371B"/>
    <w:rsid w:val="7CBE0F77"/>
    <w:rsid w:val="7D357153"/>
    <w:rsid w:val="7E992973"/>
    <w:rsid w:val="7FAC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76" w:firstLineChars="200"/>
      <w:jc w:val="both"/>
    </w:pPr>
    <w:rPr>
      <w:rFonts w:eastAsia="宋体" w:asciiTheme="minorAscii" w:hAnsiTheme="minorAscii" w:cstheme="minorBidi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pageBreakBefore w:val="0"/>
      <w:numPr>
        <w:ilvl w:val="0"/>
        <w:numId w:val="1"/>
      </w:numPr>
      <w:tabs>
        <w:tab w:val="left" w:pos="420"/>
      </w:tabs>
      <w:spacing w:before="480" w:after="80"/>
      <w:ind w:left="0" w:firstLine="0" w:firstLineChars="0"/>
      <w:outlineLvl w:val="0"/>
    </w:pPr>
    <w:rPr>
      <w:rFonts w:eastAsia="黑体" w:asciiTheme="majorAscii" w:hAnsiTheme="majorAscii" w:cstheme="majorBidi"/>
      <w:sz w:val="32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tabs>
        <w:tab w:val="left" w:pos="420"/>
      </w:tabs>
      <w:spacing w:before="160" w:after="80"/>
      <w:ind w:left="575" w:hanging="575" w:firstLineChars="0"/>
      <w:outlineLvl w:val="1"/>
    </w:pPr>
    <w:rPr>
      <w:rFonts w:eastAsia="黑体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spacing w:before="160" w:after="80"/>
      <w:ind w:left="0" w:firstLine="0" w:firstLineChars="0"/>
      <w:outlineLvl w:val="2"/>
    </w:pPr>
    <w:rPr>
      <w:rFonts w:eastAsia="黑体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ind w:left="864" w:hanging="864" w:firstLineChars="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numPr>
        <w:ilvl w:val="4"/>
        <w:numId w:val="1"/>
      </w:numPr>
      <w:spacing w:before="80" w:after="40"/>
      <w:ind w:left="1008" w:hanging="1008" w:firstLineChars="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 w:firstLineChars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ind w:left="1296" w:hanging="1296" w:firstLineChars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numPr>
        <w:ilvl w:val="7"/>
        <w:numId w:val="1"/>
      </w:numPr>
      <w:ind w:left="1440" w:hanging="1440" w:firstLineChars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numPr>
        <w:ilvl w:val="8"/>
        <w:numId w:val="1"/>
      </w:numPr>
      <w:ind w:left="1583" w:hanging="1583" w:firstLineChars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semiHidden/>
    <w:unhideWhenUsed/>
    <w:qFormat/>
    <w:uiPriority w:val="39"/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eastAsia="微软雅黑" w:asciiTheme="majorAscii" w:hAnsiTheme="majorAscii" w:cstheme="majorBidi"/>
      <w:spacing w:val="-11"/>
      <w:kern w:val="28"/>
      <w:sz w:val="56"/>
      <w:szCs w:val="44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customStyle="1" w:styleId="22">
    <w:name w:val="标题 1 字符"/>
    <w:basedOn w:val="20"/>
    <w:link w:val="2"/>
    <w:qFormat/>
    <w:uiPriority w:val="9"/>
    <w:rPr>
      <w:rFonts w:eastAsia="黑体" w:asciiTheme="majorAscii" w:hAnsiTheme="majorAscii" w:cstheme="majorBidi"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20"/>
    <w:link w:val="3"/>
    <w:semiHidden/>
    <w:qFormat/>
    <w:uiPriority w:val="9"/>
    <w:rPr>
      <w:rFonts w:eastAsia="楷体" w:asciiTheme="majorAscii" w:hAnsiTheme="majorAscii" w:cstheme="majorBidi"/>
      <w:color w:val="000000" w:themeColor="text1"/>
      <w:sz w:val="30"/>
      <w:szCs w:val="40"/>
      <w14:textFill>
        <w14:solidFill>
          <w14:schemeClr w14:val="tx1"/>
        </w14:solidFill>
      </w14:textFill>
    </w:rPr>
  </w:style>
  <w:style w:type="character" w:customStyle="1" w:styleId="24">
    <w:name w:val="标题 3 字符"/>
    <w:basedOn w:val="20"/>
    <w:link w:val="4"/>
    <w:semiHidden/>
    <w:qFormat/>
    <w:uiPriority w:val="9"/>
    <w:rPr>
      <w:rFonts w:eastAsia="仿宋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5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7"/>
    <w:qFormat/>
    <w:uiPriority w:val="10"/>
    <w:rPr>
      <w:rFonts w:eastAsia="微软雅黑" w:asciiTheme="majorAscii" w:hAnsiTheme="majorAscii" w:cstheme="majorBidi"/>
      <w:spacing w:val="-11"/>
      <w:kern w:val="28"/>
      <w:sz w:val="56"/>
      <w:szCs w:val="44"/>
    </w:rPr>
  </w:style>
  <w:style w:type="character" w:customStyle="1" w:styleId="32">
    <w:name w:val="副标题 字符"/>
    <w:basedOn w:val="20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font11"/>
    <w:basedOn w:val="20"/>
    <w:qFormat/>
    <w:uiPriority w:val="0"/>
    <w:rPr>
      <w:rFonts w:hint="default" w:ascii="Segoe UI" w:hAnsi="Segoe UI" w:eastAsia="Segoe UI" w:cs="Segoe UI"/>
      <w:b/>
      <w:bCs/>
      <w:color w:val="000000"/>
      <w:sz w:val="21"/>
      <w:szCs w:val="21"/>
      <w:u w:val="none"/>
    </w:rPr>
  </w:style>
  <w:style w:type="character" w:customStyle="1" w:styleId="41">
    <w:name w:val="font21"/>
    <w:basedOn w:val="20"/>
    <w:qFormat/>
    <w:uiPriority w:val="0"/>
    <w:rPr>
      <w:rFonts w:hint="default" w:ascii="Segoe UI" w:hAnsi="Segoe UI" w:eastAsia="Segoe UI" w:cs="Segoe UI"/>
      <w:color w:val="000000"/>
      <w:sz w:val="21"/>
      <w:szCs w:val="21"/>
      <w:u w:val="none"/>
    </w:rPr>
  </w:style>
  <w:style w:type="character" w:customStyle="1" w:styleId="42">
    <w:name w:val="font3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2614</Words>
  <Characters>2813</Characters>
  <Lines>16</Lines>
  <Paragraphs>4</Paragraphs>
  <TotalTime>0</TotalTime>
  <ScaleCrop>false</ScaleCrop>
  <LinksUpToDate>false</LinksUpToDate>
  <CharactersWithSpaces>2916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2025-04-07T08:03:00Z</dcterms:created>
  <dc:creator>练 张</dc:creator>
  <dc:description>V2.1，2026-09-10</dc:description>
  <cp:lastModifiedBy>北白川饼藏</cp:lastModifiedBy>
  <dcterms:modified xsi:type="dcterms:W3CDTF">2026-09-11T07:38:52Z</dcterms:modified>
  <dc:subject>2026-09-10成员资格与团队管理需求闭环</dc:subject>
  <dc:title>多Agent智能虚拟化实验平台需求调研报告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eyJoZGlkIjoiN2M2MGE5M2QwMDNhZjAwZTU4NmFlYzQ0MDY4MGRlOTciLCJ1c2VySWQiOiIxMTcwMzAxMjY1In0=</vt:lpwstr>
  </property>
  <property fmtid="{D5CDD505-2E9C-101B-9397-08002B2CF9AE}" pid="3" name="KSOProductBuildVer">
    <vt:lpwstr>2052-12.1.0.28505</vt:lpwstr>
  </property>
  <property fmtid="{D5CDD505-2E9C-101B-9397-08002B2CF9AE}" pid="4" name="ICV">
    <vt:lpwstr>FBCB7FD334064B9C8F1844408FA90F12_13</vt:lpwstr>
  </property>
</Properties>
</file>