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System Architecture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 — extracted as a standalone document for W3 submission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</w:tbl>
    <w:p>
      <w:pPr>
        <w:pStyle w:val="Heading1"/>
        <w:spacing w:after="120" w:before="300"/>
      </w:pPr>
      <w:r>
        <w:t xml:space="preserve">1. Overview</w:t>
      </w:r>
    </w:p>
    <w:p>
      <w:pPr>
        <w:spacing w:after="140"/>
      </w:pPr>
      <w:r>
        <w:rPr>
          <w:sz w:val="22"/>
          <w:szCs w:val="22"/>
        </w:rPr>
        <w:t xml:space="preserve">The system consists of a core runtime pipeline that processes one CAD model at a time, and a separate offline training pipeline that produces the trained feature-recognition model used inside the runtime pipeline.</w:t>
      </w:r>
    </w:p>
    <w:p>
      <w:pPr>
        <w:spacing w:after="140"/>
      </w:pPr>
      <w:r>
        <w:rPr>
          <w:sz w:val="22"/>
          <w:szCs w:val="22"/>
        </w:rPr>
        <w:t xml:space="preserve">The tool only proposes a defeatured result - it does not auto-finalize. Every result goes through mandatory engineer review before being accepted, since this is a decision-support tool that speeds up the engineer's work rather than a fully autonomous replacement for engineer judgment.</w:t>
      </w:r>
    </w:p>
    <w:p>
      <w:pPr>
        <w:spacing w:after="140"/>
      </w:pPr>
      <w:r>
        <w:rPr>
          <w:sz w:val="22"/>
          <w:szCs w:val="22"/>
        </w:rPr>
        <w:t xml:space="preserve">Note: the exact CAD toolchain (FreeCAD-python API vs. cadquery) and the feature recognition model are still open decisions pending mentor confirmation. They are shown as labeled placeholders in the diagrams below rather than fixed choices - a system architecture describes module boundaries and interfaces, not final algorithm/library selection.</w:t>
      </w:r>
    </w:p>
    <w:p>
      <w:pPr>
        <w:pStyle w:val="Heading1"/>
        <w:spacing w:after="120" w:before="300"/>
      </w:pPr>
      <w:r>
        <w:t xml:space="preserve">2. Core Runtime Pipeline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pStyle w:val="Heading1"/>
        <w:spacing w:after="120" w:before="300"/>
      </w:pPr>
      <w:r>
        <w:t xml:space="preserve">3. Offline Model Training Pipeline</w:t>
      </w:r>
    </w:p>
    <w:p>
      <w:pPr>
        <w:spacing w:after="140"/>
      </w:pPr>
      <w:r>
        <w:rPr>
          <w:sz w:val="22"/>
          <w:szCs w:val="22"/>
        </w:rPr>
        <w:t xml:space="preserve">The Feature Recognition Model is trained and deployed ahead of time, separately from the runtime pipeline above.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4. Layer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182"/>
        <w:gridCol w:w="4305"/>
      </w:tblGrid>
      <w:tr>
        <w:trPr>
          <w:tblHeader/>
        </w:trP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STEP file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Original CAD provided by the user/HP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 Kernel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OCCT-based (TBD: FreeCAD-python API / cadquery)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 STEP, access face/edge/vertex, execute the final shape manipulation (feature removal)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Graph Conversion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 B-rep into a face adjacency graph + UV parameter samples (model input format)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 Recognition Model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GNN-family model (candidates: UV-Net/BRepNet/AAGNet/BrepMFR)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 each face/feature as hole/fillet/chamfer/rib/boss, etc., and whether it has a large or small impact on analysis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Decision Logic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Rules + model confidence combined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Proposes whether a feature can be removed, based on model output - this is a proposal, not a final decision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 Removal Engine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OCCT-based (TBD: FreeCAD-python API / cadquery)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Suppress/remove proposed features, then run geometry healing to repair the resulting shape into a valid, watertight model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Simplified STEP + visual comparison report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Deliverable presented to the engineer; no text summary, only a before/after visual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Engineer Review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Human (mandatory)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the visual comparison report and accepts/rejects the result before it is finalized - applies to every run</w:t>
            </w:r>
          </w:p>
        </w:tc>
      </w:tr>
      <w:tr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Validation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Gmsh (mesh quality), FreeCAD (visual)</w:t>
            </w:r>
          </w:p>
        </w:tc>
        <w:tc>
          <w:tcPr>
            <w:tcW w:type="dxa" w:w="43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Compare before/after simplification, verify success criteria (70-90% preprocessing time reduction)</w:t>
            </w:r>
          </w:p>
        </w:tc>
      </w:tr>
    </w:tbl>
    <w:p>
      <w:pPr>
        <w:pStyle w:val="Heading1"/>
        <w:spacing w:after="120" w:before="300"/>
      </w:pPr>
      <w:r>
        <w:t xml:space="preserve">5. Confirmed Decisions</w:t>
      </w:r>
    </w:p>
    <w:p>
      <w:pPr>
        <w:spacing w:after="90"/>
      </w:pPr>
      <w:r>
        <w:rPr>
          <w:sz w:val="22"/>
          <w:szCs w:val="22"/>
        </w:rPr>
        <w:t xml:space="preserve">•  CAD kernel approach: open-source OCCT instead of NX. Confirmed by HP mentor Byoungho Yoo, who validated that OCCT can replace NX for geometry creation and defeaturing with a working preliminary test. The exact Python binding is not yet confirmed.</w:t>
      </w:r>
    </w:p>
    <w:p>
      <w:pPr>
        <w:spacing w:after="90"/>
      </w:pPr>
      <w:r>
        <w:rPr>
          <w:sz w:val="22"/>
          <w:szCs w:val="22"/>
        </w:rPr>
        <w:t xml:space="preserve">•  Visual verification: FreeCAD.</w:t>
      </w:r>
    </w:p>
    <w:p>
      <w:pPr>
        <w:spacing w:after="90"/>
      </w:pPr>
      <w:r>
        <w:rPr>
          <w:sz w:val="22"/>
          <w:szCs w:val="22"/>
        </w:rPr>
        <w:t xml:space="preserve">•  NX support is not required - the project can proceed entirely without NX CAD access.</w:t>
      </w:r>
    </w:p>
    <w:p>
      <w:pPr>
        <w:spacing w:after="90"/>
      </w:pPr>
      <w:r>
        <w:rPr>
          <w:sz w:val="22"/>
          <w:szCs w:val="22"/>
        </w:rPr>
        <w:t xml:space="preserve">•  Training/test data will not come from HP (confidential); the team authors simple CAD shapes plus public datasets instead.</w:t>
      </w:r>
    </w:p>
    <w:p>
      <w:pPr>
        <w:spacing w:after="90"/>
      </w:pPr>
      <w:r>
        <w:rPr>
          <w:sz w:val="22"/>
          <w:szCs w:val="22"/>
        </w:rPr>
        <w:t xml:space="preserve">•  STEP is the only supported format.</w:t>
      </w:r>
    </w:p>
    <w:p>
      <w:pPr>
        <w:spacing w:after="90"/>
      </w:pPr>
      <w:r>
        <w:rPr>
          <w:sz w:val="22"/>
          <w:szCs w:val="22"/>
        </w:rPr>
        <w:t xml:space="preserve">•  Comparison report is visual only - no text summary.</w:t>
      </w:r>
    </w:p>
    <w:p>
      <w:pPr>
        <w:spacing w:after="90"/>
      </w:pPr>
      <w:r>
        <w:rPr>
          <w:sz w:val="22"/>
          <w:szCs w:val="22"/>
        </w:rPr>
        <w:t xml:space="preserve">•  Engineer review is mandatory for every result, not just low-confidence ones.</w:t>
      </w:r>
    </w:p>
    <w:p>
      <w:pPr>
        <w:pStyle w:val="Heading1"/>
        <w:spacing w:after="120" w:before="300"/>
      </w:pPr>
      <w:r>
        <w:t xml:space="preserve">6. Open Points</w:t>
      </w:r>
    </w:p>
    <w:p>
      <w:pPr>
        <w:spacing w:after="90"/>
      </w:pPr>
      <w:r>
        <w:rPr>
          <w:sz w:val="22"/>
          <w:szCs w:val="22"/>
        </w:rPr>
        <w:t xml:space="preserve">•  Confirm the exact CAD toolchain with the mentor: the meeting slide said "FreeCAD-python API", the school's AI Lab server guide said "cadquery".</w:t>
      </w:r>
    </w:p>
    <w:p>
      <w:pPr>
        <w:spacing w:after="90"/>
      </w:pPr>
      <w:r>
        <w:rPr>
          <w:sz w:val="22"/>
          <w:szCs w:val="22"/>
        </w:rPr>
        <w:t xml:space="preserve">•  Decide the final Feature Recognition Model among UV-Net / BRepNet / AAGNet / BrepMFR.</w:t>
      </w:r>
    </w:p>
    <w:p>
      <w:pPr>
        <w:spacing w:after="90"/>
      </w:pPr>
      <w:r>
        <w:rPr>
          <w:sz w:val="22"/>
          <w:szCs w:val="22"/>
        </w:rPr>
        <w:t xml:space="preserve">•  Whether to start the Decision Logic as rule-based or go learning-based from the start.</w:t>
      </w:r>
    </w:p>
    <w:p>
      <w:pPr>
        <w:spacing w:after="90"/>
      </w:pPr>
      <w:r>
        <w:rPr>
          <w:sz w:val="22"/>
          <w:szCs w:val="22"/>
        </w:rPr>
        <w:t xml:space="preserve">•  Whether a web demo/UI is needed, or a batch/CLI pipeline is sufficient.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2"/>
          <w:szCs w:val="22"/>
        </w:rPr>
        <w:t xml:space="preserve">- docs/step_library_comparison.md (tech stack rationale)</w:t>
      </w:r>
    </w:p>
    <w:p>
      <w:pPr>
        <w:spacing w:after="140"/>
      </w:pPr>
      <w:r>
        <w:rPr>
          <w:sz w:val="22"/>
          <w:szCs w:val="22"/>
        </w:rPr>
        <w:t xml:space="preserve">- docs/High_Level_Design_Document.docx (module responsibilities and interfaces)</w:t>
      </w:r>
    </w:p>
    <w:p>
      <w:pPr>
        <w:spacing w:after="140"/>
      </w:pPr>
      <w:r>
        <w:rPr>
          <w:sz w:val="22"/>
          <w:szCs w:val="22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80c2bfabeaf80b59b7cb90c7b756f700b19c63.png"/><Relationship Id="rId8" Type="http://schemas.openxmlformats.org/officeDocument/2006/relationships/image" Target="media/c0a093a041041625517decb1ef7b5d100db87c9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2026-09-17T05:47:58.056Z</dcterms:created>
  <dcterms:modified xsi:type="dcterms:W3CDTF">2026-09-17T05:47:58.060Z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