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Added watertight output guarantee and Accuracy section,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2026-09-17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Fixed stale toolchain reference (pythonocc-core was our own placeholder, not confirmed) and team member name formatting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Primary success criterion from the project proposal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rather than crashing or producing an invalid output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output CAD model shall be a valid, watertight solid - free of gaps or non-manifold geometry left behind by feature removal.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FR-DEF-02's watertight healing requirement; cross-checked against teammate's FR draft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should be runnable headless (without a GUI), independent of any visualization tool.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Depends on the CAD toolchain decision (FreeCAD-python API vs. cadquery) - still unconfirmed with HP mentor, see step_library_comparison.md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 or CAD shapes authored by the team.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7. Accuracy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NFR-ACC-01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system's feature-removal decisions shall be optimized to minimize degradation of downstream CAE analysis accuracy, not solely to maximize processing-time reduction.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Matches FR-FEAT-03; cross-checked against teammate's FR draft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2026-09-17T04:56:50.082Z</dcterms:created>
  <dcterms:modified xsi:type="dcterms:W3CDTF">2026-09-17T04:56:50.090Z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