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Non-Functional Requirements Document</w:t>
      </w:r>
    </w:p>
    <w:p>
      <w:pPr>
        <w:spacing w:after="60"/>
      </w:pPr>
      <w:r>
        <w:rPr>
          <w:b/>
          <w:bCs/>
        </w:rPr>
        <w:t xml:space="preserve">Project Name: </w:t>
      </w:r>
      <w:r>
        <w:t xml:space="preserve">Mold-Part Defeaturing</w:t>
      </w:r>
    </w:p>
    <w:p>
      <w:pPr>
        <w:spacing w:after="60"/>
      </w:pPr>
      <w:r>
        <w:rPr>
          <w:b/>
          <w:bCs/>
        </w:rPr>
        <w:t xml:space="preserve">Team Name: </w:t>
      </w:r>
      <w:r>
        <w:t xml:space="preserve">CleanCAD</w:t>
      </w:r>
    </w:p>
    <w:p>
      <w:pPr>
        <w:spacing w:after="60"/>
      </w:pPr>
      <w:r>
        <w:rPr>
          <w:b/>
          <w:bCs/>
        </w:rPr>
        <w:t xml:space="preserve">Team members: </w:t>
      </w:r>
      <w:r>
        <w:t xml:space="preserve">Junoh Lee (Team Lead), Hemanth Reddy Vangala, Aneela Tahir, Balcha Kidus Elias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Revised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684"/>
        <w:gridCol w:w="3931"/>
        <w:gridCol w:w="1684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Reason For Changes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2026-09-10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Version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2026-09-11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 per mentor meeting: report is visual (not text), engineer review is mandatory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2026-09-11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watertight output guarantee and Accuracy section, cross-checked against teammate's independent FR draft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2026-09-17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 stale toolchain reference (pythonocc-core was our own placeholder, not confirmed) and team member name formatting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2026-09-18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Toolchain confirmed as FreeCAD Python API; added CPU-only inference constraint; clarified defeaturing accuracy (not CAE analysis accuracy) as the accuracy target; added failure-case retention for retraining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2026-09-18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Pre-mentor-review pass: clarified NFR-PERF-01 (time reduction) as a secondary efficiency criterion vs. NFR-ACC-01 (defeaturing accuracy) as the primary criterion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2026-09-29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Full-document verification pass: cross-checked against the working src/cleancad_core.py prototype (9/9 example shapes pass, see run_headless.py). No requirement content changed.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2026-10-02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Recorded HP mentor feedback on the proposal as a Want candidate (unverified, team decision pending): split defeaturing accuracy into selection accuracy and removal execution accuracy (NFR-ACC-03).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professor's review: team name corrected to CleanCAD; NFR-USE-02 (clear error messages) changed from Want to Must.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Junoh Lee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Reviewed with Hemanth Reddy Vangala: NFR-PERF-02 reworded (time compared with an engineer working manually, measured from opening the input STEP file to saving the final STEP file) and changed from Want to Must.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Non-Functional Requirements (NFR)</w:t>
      </w:r>
    </w:p>
    <w:p>
      <w:pPr>
        <w:pStyle w:val="Heading2"/>
        <w:spacing w:after="100" w:before="240"/>
      </w:pPr>
      <w:r>
        <w:rPr>
          <w:sz w:val="24"/>
          <w:szCs w:val="24"/>
        </w:rPr>
        <w:t xml:space="preserve">1.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reduce CAD preprocessing (defeaturing) time by 70-90% compared to manual defeaturing, measured on representative test shapes.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Efficiency success criterion from the project proposal — secondary to defeaturing accuracy (see NFR-ACC-01), the primary criterion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complete the defeaturing of a single part, measured from opening the input STEP file to saving the final defeatured STEP file, in less time than an engineer needs to defeature the same part manually.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Reworded 2026-10-08 per the professor's review: replaces "reasonable time" with a comparison against manual defeaturing; changed from Want to Must.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feature recognition model shall run inference on a standard office laptop without a GPU.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with HP mentor 2026-09-18 — model training may use a GPU server, but deployed inference must not require one</w:t>
            </w:r>
          </w:p>
        </w:tc>
      </w:tr>
    </w:tbl>
    <w:p>
      <w:pPr>
        <w:pStyle w:val="Heading2"/>
        <w:spacing w:after="100" w:before="240"/>
      </w:pPr>
      <w:r>
        <w:rPr>
          <w:sz w:val="24"/>
          <w:szCs w:val="24"/>
        </w:rPr>
        <w:t xml:space="preserve">2. Reliability &amp; Robustness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not modify or corrupt the original input STEP file; it shall remain unchanged during processing.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geometry healing fails for a given feature, the system shall skip removing that feature, avoid crashing or producing an invalid output file, and retain the failure information for later use.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Ties to FR-DEF-04; failure geometry + face ID stored for manual correction and retraining (confirmed 2026-09-18) Verified in src/cleancad_core.py (fail_demo example, 9/9 suite).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should handle CAD models with moderately complex geometry (multiple bodies, curved surfaces), beyond the simple shapes used in early development.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Complexity ceiling still to be confirmed with HP mentor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NFR-REL-04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output CAD model shall be a valid, watertight solid - free of gaps or non-manifold geometry left behind by feature removal.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FR-DEF-02's watertight healing requirement Verified: all 9 prototype examples produce a valid, watertight result.</w:t>
            </w:r>
          </w:p>
        </w:tc>
      </w:tr>
    </w:tbl>
    <w:p>
      <w:pPr>
        <w:pStyle w:val="Heading2"/>
        <w:spacing w:after="100" w:before="240"/>
      </w:pPr>
      <w:r>
        <w:rPr>
          <w:sz w:val="24"/>
          <w:szCs w:val="24"/>
        </w:rPr>
        <w:t xml:space="preserve">3. Portability &amp;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NFR-PORT-01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run on the standard desktop operating systems used by team members (macOS, Windows, Linux) without requiring licensed CAD software.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NX dependency, per HP confirmation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NFR-PORT-02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read/write STEP files conforming to ISO 10303 (AP203/AP214/AP242) for interoperability with common CAD software.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NFR-PORT-03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core processing pipeline shall be runnable headless (without the FreeCAD GUI), as standalone batch/automated code.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with HP mentor 2026-09-18: FreeCAD Python API run headless is the target, not manual GUI scripting; cadquery optional for STEP generation only</w:t>
            </w:r>
          </w:p>
        </w:tc>
      </w:tr>
    </w:tbl>
    <w:p>
      <w:pPr>
        <w:pStyle w:val="Heading2"/>
        <w:spacing w:after="100" w:before="240"/>
      </w:pPr>
      <w:r>
        <w:rPr>
          <w:sz w:val="24"/>
          <w:szCs w:val="24"/>
        </w:rPr>
        <w:t xml:space="preserve">4. Security &amp; Confidentiality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and its public repository shall not store or transmit any confidential HP CAD data.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HP's data-sharing policy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training/validation data committed to the repository shall be either publicly available datasets, CAD shapes authored by the team, or manually-corrected failure cases generated by the team's own pipeline runs.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sz w:val="24"/>
          <w:szCs w:val="24"/>
        </w:rPr>
        <w:t xml:space="preserve">5.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NFR-USE-01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comparison report shall be understandable by a non-AI-expert reviewer (e.g., a CAE engineer) at a glance, since the report is visual rather than text-based.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with HP mentor: visual report, not text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NFR-USE-02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provide clear error messages when an input file cannot be processed (e.g., unsupported STEP version, corrupted file).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Changed from Want to Must per professor's review (2026-10-08)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NFR-USE-03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be designed as a decision-support tool that speeds up the engineer's work, not a fully autonomous replacement for engineer judgment.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with HP mentor: engineer review is unavoidable</w:t>
            </w:r>
          </w:p>
        </w:tc>
      </w:tr>
    </w:tbl>
    <w:p>
      <w:pPr>
        <w:pStyle w:val="Heading2"/>
        <w:spacing w:after="100" w:before="240"/>
      </w:pPr>
      <w:r>
        <w:rPr>
          <w:sz w:val="24"/>
          <w:szCs w:val="24"/>
        </w:rPr>
        <w:t xml:space="preserve">6.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NFR-MAINT-01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codebase shall be organized into modules corresponding to the pipeline layers (CAD I/O, graph conversion, feature recognition, removal, validation) to allow independent development by team members.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NFR-MAINT-02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be version-controlled using Git, with a shared GitHub repository and documented commit history accessible to all team members.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sz w:val="24"/>
          <w:szCs w:val="24"/>
        </w:rPr>
        <w:t xml:space="preserve">7.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024"/>
        <w:gridCol w:w="1404"/>
        <w:gridCol w:w="1872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Must/Want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NFR-ACC-01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system's feature-removal decisions shall be optimized to maximize defeaturing accuracy.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with HP mentor 2026-09-18: defeaturing accuracy is the top priority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NFR-ACC-02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Downstream CAE analysis accuracy (e.g., stress/deformation error) shall NOT be measured; it is explicitly out of scope for this project.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with HP mentor 2026-09-18 — supersedes earlier framing that treated analysis accuracy as a design consideration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NFR-ACC-03</w:t>
            </w:r>
          </w:p>
        </w:tc>
        <w:tc>
          <w:tcPr>
            <w:tcW w:type="dxa" w:w="4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Defeaturing accuracy should be defined as two separately measured categories: feature selection accuracy and removal execution accuracy. Removal/healing failures on correctly selected features should be tracked as their own category.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Want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Suggested by HP mentor (reply to proposal, relayed 2026-10-02); unverified, team decision pending. See FR-VAL-07, FR-DEF-05.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2026-09-17T07:47:55.964Z</dcterms:created>
  <dcterms:modified xsi:type="dcterms:W3CDTF">2026-09-17T07:47:55.964Z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