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High-Level Design Document</w:t>
      </w:r>
    </w:p>
    <w:p>
      <w:pPr>
        <w:spacing w:after="60"/>
      </w:pPr>
      <w:r>
        <w:rPr>
          <w:b/>
          <w:bCs/>
        </w:rPr>
        <w:t xml:space="preserve">Project Name: </w:t>
      </w:r>
      <w:r>
        <w:t xml:space="preserve">Mold-Part Defeaturing</w:t>
      </w:r>
    </w:p>
    <w:p>
      <w:pPr>
        <w:spacing w:after="60"/>
      </w:pPr>
      <w:r>
        <w:rPr>
          <w:b/>
          <w:bCs/>
        </w:rPr>
        <w:t xml:space="preserve">Team Name: </w:t>
      </w:r>
      <w:r>
        <w:t xml:space="preserve">CleanCAD</w:t>
      </w:r>
    </w:p>
    <w:p>
      <w:pPr>
        <w:spacing w:after="60"/>
      </w:pPr>
      <w:r>
        <w:rPr>
          <w:b/>
          <w:bCs/>
        </w:rPr>
        <w:t xml:space="preserve">Team members: </w:t>
      </w:r>
      <w:r>
        <w:t xml:space="preserve">Junoh Lee (Team Lead), Hemanth Reddy Vangala, Aneela Tahir, Balcha Kidus Elias</w:t>
      </w:r>
    </w:p>
    <w:p>
      <w:pPr>
        <w:spacing w:after="200"/>
      </w:pPr>
    </w:p>
    <w:p>
      <w:pPr>
        <w:pStyle w:val="Heading1"/>
        <w:spacing w:after="120" w:before="300"/>
      </w:pPr>
      <w:r>
        <w:t xml:space="preserve">Revised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684"/>
        <w:gridCol w:w="3931"/>
        <w:gridCol w:w="1684"/>
      </w:tblGrid>
      <w:tr>
        <w:trPr>
          <w:tblHeader/>
        </w:trP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Reason For Changes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2026-09-11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Initial Version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2026-09-17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Removed premature pythonocc-core naming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2026-09-18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Toolchain confirmed as FreeCAD Python API; added deployment constraint (CPU inference), success criteria, staged Decision Logic, and failure-case retraining loop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1.2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2026-09-29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Added a note that the core mechanism (M1, M5, and the face-adjacency traversal M2 will build on) is already prototyped and verified in src/cleancad_core.py (9/9 example shapes). No architectural changes.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2026-10-02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Noted HP mentor feedback as open, unverified candidates: explicit Stage 1 dimension thresholds and a supervisory decision layer for rule/ML conflicts (M4), logo feature category (M3), separate tracking of removal-execution failures (M5). No architectural change decided.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1.4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2026-10-02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professor request: added FR/NFR requirement numbers for readability - new "Related Requirements" column in the module table, requirement IDs on the design constraints, and a requirements traceability matrix (Section 7). No architectural changes.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05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Junoh Lee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2026-10-08</w:t>
            </w:r>
          </w:p>
        </w:tc>
        <w:tc>
          <w:tcPr>
            <w:tcW w:type="dxa" w:w="39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 professor's review: team name corrected to CleanCAD; NFR-USE-02 shown as Must in the module table and the traceability matrix.</w:t>
            </w:r>
          </w:p>
        </w:tc>
        <w:tc>
          <w:tcPr>
            <w:tcW w:type="dxa" w:w="16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1.6</w:t>
            </w:r>
          </w:p>
        </w:tc>
      </w:tr>
    </w:tbl>
    <w:p>
      <w:pPr>
        <w:pStyle w:val="Heading1"/>
        <w:spacing w:after="120" w:before="300"/>
      </w:pPr>
      <w:r>
        <w:t xml:space="preserve">1. Purpose</w:t>
      </w:r>
    </w:p>
    <w:p>
      <w:pPr>
        <w:spacing w:after="140"/>
      </w:pPr>
      <w:r>
        <w:rPr>
          <w:sz w:val="21"/>
          <w:szCs w:val="21"/>
        </w:rPr>
        <w:t xml:space="preserve">This document describes the module-level (high-level) architecture of the Mold-Part Defeaturing system: the responsibility of each module, the interfaces between modules, and the technology stack. It elaborates on the Functional and Non-Functional Requirements defined in the FRD/NFRD, and will be refined into per-module Low-Level Design (LLD) in a later phase.</w:t>
      </w:r>
    </w:p>
    <w:p>
      <w:pPr>
        <w:pStyle w:val="Heading1"/>
        <w:spacing w:after="120" w:before="300"/>
      </w:pPr>
      <w:r>
        <w:t xml:space="preserve">2. System Architecture Overview</w:t>
      </w:r>
    </w:p>
    <w:p>
      <w:pPr>
        <w:spacing w:after="140"/>
      </w:pPr>
      <w:r>
        <w:rPr>
          <w:sz w:val="21"/>
          <w:szCs w:val="21"/>
        </w:rPr>
        <w:t xml:space="preserve">The system consists of a core runtime pipeline (M1-M8) that processes one CAD model at a time, and a separate offline training pipeline that produces the trained feature-recognition model used by M3. The tool only proposes a defeatured result - every result is reviewed and approved by an engineer (M7) before being finalized.</w:t>
      </w:r>
    </w:p>
    <w:p>
      <w:pPr>
        <w:spacing w:after="140"/>
      </w:pPr>
      <w:r>
        <w:rPr>
          <w:sz w:val="21"/>
          <w:szCs w:val="21"/>
        </w:rPr>
        <w:t xml:space="preserve">Toolchain (confirmed 2026-09-18): FreeCAD's Python API, run headless as standalone batch/automated code. cadquery may optionally be used, but only for generating STEP files. Deployment constraint: inference must run on a GPU-less office laptop; only training may use a GPU server.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Core Runtime Pipeline (M1-M8)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Offline Model Training Pipeline</w:t>
      </w:r>
    </w:p>
    <w:p>
      <w:pPr>
        <w:pStyle w:val="Heading1"/>
        <w:spacing w:after="120" w:before="300"/>
      </w:pPr>
      <w:r>
        <w:t xml:space="preserve">3. Module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60"/>
        <w:gridCol w:w="17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Module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Technology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Related Requirements (W = Want)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 — CAD I/O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Parse input STEP file into a B-rep model; export the final result as a STEP file.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FreeCAD Python API, headless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FR-IO-01, FR-IO-02, FR-IO-03, FR-IO-04, NFR-REL-01, NFR-REL-03 (W), NFR-PORT-02, NFR-PORT-03, NFR-USE-02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M2 — Graph Conversion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Convert the B-rep model into a face adjacency graph with UV parameter samples, usable as ML model input. Shared by both the runtime pipeline and the offline training pipeline.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occwl or a FreeCAD-API-based equivalent (re-check needed) — note: src/cleancad_core.py already implements FreeCAD-API-based face-adjacency traversal (groups()), usable as a starting point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FR-FEAT-02, NFR-PERF-02 (W), NFR-REL-03 (W)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 — Feature Recognition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Classify each recognized feature (hole/fillet/chamfer/rib/boss/emboss); estimate impact on defeaturing accuracy.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GNN model — team's choice (UV-Net/BRepNet/AAGNet/BrepMFR), must run on CPU at inference — mentor-suggested candidate (unverified, open): logos (characters, markings, embossed/engraved text) as an additional feature category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FR-FEAT-01, FR-FEAT-03, FR-FEAT-04 (W), FR-FEAT-08 (W), NFR-PERF-02 (W), NFR-PERF-03, NFR-REL-03 (W), NFR-ACC-01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M4 — Decision Logic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Stage 1: rule-based (by size). Stage 2: ML-based. Proposes a keep/remove decision per feature — never auto-finalized. Wrong cases are corrected manually and fed back into Stage 2 training.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Rule engine + GNN classifier — mentor-suggested candidates (unverified, open): explicit dimension thresholds (hole diameter, chamfer size, fillet radius) for Stage 1; a supervisory decision layer to resolve rule/ML conflicts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FR-FEAT-03, FR-FEAT-06, FR-FEAT-07 (W), FR-FEAT-09 (W), NFR-PERF-02 (W), NFR-REL-03 (W), NFR-ACC-01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 — Removal &amp; Healing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 features approved in M4's proposal; run geometry healing so the result is a valid, watertight solid. On failure, store the geometry + failed face ID for manual correction. Mentor-suggested (unverified, open): track removal-execution failures as a separate category from wrong feature selection.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FreeCAD Python API, headless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FR-DEF-01, FR-DEF-02, FR-DEF-03, FR-DEF-04, FR-DEF-05 (W), NFR-PERF-02 (W), NFR-REL-02, NFR-REL-03 (W), NFR-REL-04, NFR-PORT-03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M6 — Output &amp; Reporting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 the simplified STEP file; generate a visual (image-based) before/after comparison report.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Same FreeCAD toolchain + rendering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FR-IO-03, FR-VAL-01, FR-VAL-02, FR-VAL-06, NFR-USE-01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M7 — Engineer Review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Present the visual comparison report to the engineer; the engineer accepts or rejects the result. Mandatory for every run.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TBD (interface format not yet decided)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FR-FEAT-05, NFR-USE-03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M8 — Validation</w:t>
            </w:r>
          </w:p>
        </w:tc>
        <w:tc>
          <w:tcPr>
            <w:tcW w:type="dxa" w:w="3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Evaluate mesh quality (element count, generation time) and allow visual inspection. Success = defeaturing accuracy, not downstream CAE analysis accuracy (out of scope).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Gmsh (mesh quality), FreeCAD (visual check)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FR-DEF-05 (W), FR-VAL-03, FR-VAL-04 (W), FR-VAL-05, FR-VAL-07 (W), FR-DATA-03, FR-DATA-04 (W), NFR-ACC-02, NFR-ACC-03 (W)</w:t>
            </w:r>
          </w:p>
        </w:tc>
      </w:tr>
    </w:tbl>
    <w:p>
      <w:pPr>
        <w:pStyle w:val="Heading1"/>
        <w:spacing w:after="120" w:before="300"/>
      </w:pPr>
      <w:r>
        <w:t xml:space="preserve">4. Interfaces Between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From -&gt; To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 Passed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M1 -&gt; M2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In-memory B-rep model (FreeCAD document/shape object)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M2 -&gt; M3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 structure: nodes = faces (with UV-sampled geometric attributes), edges = face adjacency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M3 -&gt; M4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Per-feature classification label + confidence score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M4 -&gt; M5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Proposed list of features to remove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M5 -&gt; M6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Modified, healed B-rep model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M6 -&gt; M7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 comparison report (rendered before/after images) + candidate output STEP file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M6 -&gt; M8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Output STEP file (original + defeatured) for mesh quality evaluation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M7 -&gt; Output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Approve: finalize and release the STEP file. Reject: discard or route back for manual handling (policy TBD).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 (failure) -&gt; Training Data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Geometry + failed face ID stored, manually corrected, fed into the retraining loop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Training: datasets -&gt; M2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 dataset CAD files + self-authored simple CAD shapes + manually-corrected failure cases</w:t>
            </w:r>
          </w:p>
        </w:tc>
      </w:tr>
      <w:tr>
        <w:tc>
          <w:tcPr>
            <w:tcW w:type="dxa" w:w="2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Training: M2 -&gt; Model Training -&gt; M3</w:t>
            </w:r>
          </w:p>
        </w:tc>
        <w:tc>
          <w:tcPr>
            <w:tcW w:type="dxa" w:w="673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Graph-converted training data -&gt; trained GNN weights -&gt; deployed into M3</w:t>
            </w:r>
          </w:p>
        </w:tc>
      </w:tr>
    </w:tbl>
    <w:p>
      <w:pPr>
        <w:pStyle w:val="Heading1"/>
        <w:spacing w:after="120" w:before="300"/>
      </w:pPr>
      <w:r>
        <w:t xml:space="preserve">5.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Layer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Choice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I/O &amp; geometry manipulation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FreeCAD Python API, headless/standalone (cadquery optional, STEP-generation only)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2026-09-18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Visual/mesh validation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FreeCAD, Gmsh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B-rep -&gt; graph conversion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occwl or FreeCAD-API equivalent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Needs re-check (occwl is built on pythonocc-core)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Feature recognition model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UV-Net / BRepNet / AAGNet / BrepMFR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Team's own choice — no mentor preference; must support CPU inference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Input/output CAD format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only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— NX out of scope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Training/validation data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Public datasets + self-authored shapes + failure-case retraining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— no HP data</w:t>
            </w:r>
          </w:p>
        </w:tc>
      </w:tr>
      <w:tr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Inference deployment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GPU-less office laptop</w:t>
            </w:r>
          </w:p>
        </w:tc>
        <w:tc>
          <w:tcPr>
            <w:tcW w:type="dxa" w:w="28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Confirmed 2026-09-18 — training may use a GPU server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See docs/step_library_comparison.md for the detailed comparison, mentor Q&amp;A, and rationale behind each choice.</w:t>
      </w:r>
    </w:p>
    <w:p>
      <w:pPr>
        <w:pStyle w:val="Heading1"/>
        <w:spacing w:after="120" w:before="300"/>
      </w:pPr>
      <w:r>
        <w:t xml:space="preserve">6. Design Constraints</w:t>
      </w:r>
    </w:p>
    <w:p>
      <w:pPr>
        <w:spacing w:after="140"/>
      </w:pPr>
      <w:r>
        <w:rPr>
          <w:sz w:val="21"/>
          <w:szCs w:val="21"/>
        </w:rPr>
        <w:t xml:space="preserve">- STEP is the only supported CAD format; NX support is explicitly out of scope. [FR-IO-04, NFR-PORT-02]</w:t>
      </w:r>
    </w:p>
    <w:p>
      <w:pPr>
        <w:spacing w:after="140"/>
      </w:pPr>
      <w:r>
        <w:rPr>
          <w:sz w:val="21"/>
          <w:szCs w:val="21"/>
        </w:rPr>
        <w:t xml:space="preserve">- The system must not store or transmit any confidential HP CAD data. [NFR-SEC-01, NFR-SEC-02]</w:t>
      </w:r>
    </w:p>
    <w:p>
      <w:pPr>
        <w:spacing w:after="140"/>
      </w:pPr>
      <w:r>
        <w:rPr>
          <w:sz w:val="21"/>
          <w:szCs w:val="21"/>
        </w:rPr>
        <w:t xml:space="preserve">- Engineer review (M7) is mandatory for every run, not conditional on model confidence. [FR-FEAT-05, NFR-USE-03]</w:t>
      </w:r>
    </w:p>
    <w:p>
      <w:pPr>
        <w:spacing w:after="140"/>
      </w:pPr>
      <w:r>
        <w:rPr>
          <w:sz w:val="21"/>
          <w:szCs w:val="21"/>
        </w:rPr>
        <w:t xml:space="preserve">- The comparison report (M6 output) must be visual; a text-only summary does not satisfy the requirement. [FR-VAL-01, FR-VAL-02, NFR-USE-01]</w:t>
      </w:r>
    </w:p>
    <w:p>
      <w:pPr>
        <w:spacing w:after="140"/>
      </w:pPr>
      <w:r>
        <w:rPr>
          <w:sz w:val="21"/>
          <w:szCs w:val="21"/>
        </w:rPr>
        <w:t xml:space="preserve">- Every output CAD model must be a valid, watertight solid. [FR-DEF-02, NFR-REL-04]</w:t>
      </w:r>
    </w:p>
    <w:p>
      <w:pPr>
        <w:spacing w:after="140"/>
      </w:pPr>
      <w:r>
        <w:rPr>
          <w:sz w:val="21"/>
          <w:szCs w:val="21"/>
        </w:rPr>
        <w:t xml:space="preserve">- Geometry processing (inference) must run without a GPU; only training may use a GPU server. [NFR-PERF-03]</w:t>
      </w:r>
    </w:p>
    <w:p>
      <w:pPr>
        <w:spacing w:after="140"/>
      </w:pPr>
      <w:r>
        <w:rPr>
          <w:sz w:val="21"/>
          <w:szCs w:val="21"/>
        </w:rPr>
        <w:t xml:space="preserve">- Success is measured by defeaturing accuracy; downstream CAE analysis accuracy (stress/deformation) is explicitly out of scope. [FR-VAL-05, NFR-ACC-01, NFR-ACC-02]</w:t>
      </w:r>
    </w:p>
    <w:p>
      <w:pPr>
        <w:pStyle w:val="Heading1"/>
        <w:spacing w:after="120" w:before="300"/>
      </w:pPr>
      <w:r>
        <w:t xml:space="preserve">7. Requirements Traceability</w:t>
      </w:r>
    </w:p>
    <w:p>
      <w:pPr>
        <w:spacing w:after="140"/>
      </w:pPr>
      <w:r>
        <w:rPr>
          <w:sz w:val="21"/>
          <w:szCs w:val="21"/>
        </w:rPr>
        <w:t xml:space="preserve">Each functional (FR) and non-functional (NFR) requirement from the FRD/NFRD is mapped to the module(s) that realize it. "Training" means the offline model training pipeline; "All" means the requirement applies system-wide. (W) = Want priority (candidate, not yet committed); all others are Must.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0"/>
        <w:gridCol w:w="240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 ID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Module(s)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FR-IO-01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file input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FR-IO-02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Parse STEP to B-rep (FreeCAD, headless)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FR-IO-03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 simplified STEP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M1, M6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FR-IO-04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STEP only; NX out of scope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Identify shape features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B-rep to face-adjacency graph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Classify safe-to-remove features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M3, M4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FR-FEAT-04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Confidence score per classification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FR-FEAT-05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Engineer review of all decisions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FR-FEAT-06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Two-stage decision logic (rule, then ML)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FR-FEAT-07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Explicit Stage 1 dimension thresholds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FR-FEAT-08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Logo feature category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FR-FEAT-09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Supervisory layer for rule/ML conflicts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FR-DEF-01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 features classified safe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FR-DEF-02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Geometry healing to watertight model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FR-DEF-03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Preserve external dimensions/topology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FR-DEF-04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Healing failure: skip, store geometry + face ID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M5, Training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FR-DEF-05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Removal-execution failures as separate category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M5, 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FR-VAL-01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 vs. defeatured comparison report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FR-VAL-02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 (before/after) report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FR-VAL-03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Mesh quality / time-improvement evaluation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FR-VAL-04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Visual inspection in FreeCAD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FR-VAL-05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Defeaturing accuracy as primary criterion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FR-VAL-06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Red-marked removal faces saved as STEP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FR-VAL-07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Selection vs. execution accuracy reporting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FR-DATA-01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 on public CAD datasets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FR-DATA-02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Self-authored CAD shapes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FR-DATA-03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Test-shape spec (thickness, width, 3 types)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Training, 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FR-DATA-04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Expanded validation dataset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Training, 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NFR-PERF-01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70-90% preprocessing time reduction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NFR-PERF-02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Reasonable time per part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M2, M3, M4, M5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NFR-PERF-03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CPU-only inference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NFR-REL-01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Original input file unchanged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NFR-REL-02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Healing failure must not crash / corrupt output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NFR-REL-03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Moderately complex geometry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M1, M2, M3, M4, M5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NFR-REL-04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Valid, watertight output solid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NFR-PORT-01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Desktop OSes, no licensed CAD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NFR-PORT-02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ISO 10303 STEP conformance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NFR-PORT-03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Headless, standalone batch execution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M1, M5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NFR-SEC-01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 confidential HP data in repository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NFR-SEC-02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Permitted training/validation data sources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Training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NFR-USE-01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Report readable by non-AI expert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NFR-USE-02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Clear error messages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NFR-USE-03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Decision-support, not autonomous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NFR-MAINT-01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Modular codebase per pipeline layer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NFR-MAINT-02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Git version control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NFR-ACC-01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Optimize defeaturing accuracy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M3, M4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NFR-ACC-02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CAE analysis accuracy not measured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NFR-ACC-03</w:t>
            </w:r>
          </w:p>
        </w:tc>
        <w:tc>
          <w:tcPr>
            <w:tcW w:type="dxa" w:w="4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Selection vs. execution accuracy definition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Want</w:t>
            </w:r>
          </w:p>
        </w:tc>
      </w:tr>
    </w:tbl>
    <w:p>
      <w:pPr>
        <w:spacing w:after="140"/>
      </w:pPr>
      <w:r>
        <w:rPr>
          <w:sz w:val="21"/>
          <w:szCs w:val="21"/>
        </w:rPr>
        <w:t xml:space="preserve"> </w:t>
      </w:r>
    </w:p>
    <w:p>
      <w:pPr>
        <w:pStyle w:val="Heading1"/>
        <w:spacing w:after="120" w:before="300"/>
      </w:pPr>
      <w:r>
        <w:t xml:space="preserve">Related Documents</w:t>
      </w:r>
    </w:p>
    <w:p>
      <w:pPr>
        <w:spacing w:after="140"/>
      </w:pPr>
      <w:r>
        <w:rPr>
          <w:sz w:val="21"/>
          <w:szCs w:val="21"/>
        </w:rPr>
        <w:t xml:space="preserve">- docs/architecture.md (source diagrams and open points)</w:t>
      </w:r>
    </w:p>
    <w:p>
      <w:pPr>
        <w:spacing w:after="140"/>
      </w:pPr>
      <w:r>
        <w:rPr>
          <w:sz w:val="21"/>
          <w:szCs w:val="21"/>
        </w:rPr>
        <w:t xml:space="preserve">- docs/step_library_comparison.md (tech stack rationale and mentor Q&amp;A)</w:t>
      </w:r>
    </w:p>
    <w:p>
      <w:pPr>
        <w:spacing w:after="140"/>
      </w:pPr>
      <w:r>
        <w:rPr>
          <w:sz w:val="21"/>
          <w:szCs w:val="21"/>
        </w:rPr>
        <w:t xml:space="preserve">- docs/Functional_Requirements_Document.docx / docs/Non_Functional_Requirements_Document.docx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b2ca5b8b48a488a4b3914f00fa9c11f37256d47.png"/><Relationship Id="rId8" Type="http://schemas.openxmlformats.org/officeDocument/2006/relationships/image" Target="media/5ea7e8d283fcaf27674c8e7263e70fc265846d98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2026-09-17T07:43:10.180Z</dcterms:created>
  <dcterms:modified xsi:type="dcterms:W3CDTF">2026-09-17T07:43:10.183Z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