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Refined wording (watertight geometry healing; explicit CAE-accuracy priority),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staged Decision Logic (rule then ML) and failure-case retraining requirement; clarified defeaturing accuracy (not CAE analysis accuracy) as the success criterion; added self-authored test-shape spec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the FreeCAD Python API, run headless as standalone batch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by HP mentor 2026-09-18 (cadquery optional, STEP-generation only)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occwl or a FreeCAD-API-based equivalent — needs re-check now toolchain is confirmed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safe to remove, prioritizing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is the team's own decision — no mentor preference; must support CPU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engineer review is unavoidable for every result, not only low-confidence cases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Decision Logic shall operate in two stages: Stage 1 rule-based selection (e.g., by feature size), Stage 2 ML-based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the resulting geometry into a valid, watertight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-&gt; remove face -&gt;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retain the original geometry, and store the geometry and the ID of the failed face for later manual correction.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corrected cases feed back into Stage 2 retraining (FR-FEAT-06)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Success criterion: 70-90% preprocessing time reduction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shall be the primary success criterion; downstream CAE analysis accuracy (e.g., stress/deformation error) is explicitly out of scope and shall not be measured.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Self-authored test shapes shall follow HP's guidance: approx. 2-3mm thickness, ~100-200mm width, covering (a) slightly curved shapes with a press-formed cut-out, (b) ribbed parts, and (c) parts with features near an edge.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2026-09-17T07:44:13.389Z</dcterms:created>
  <dcterms:modified xsi:type="dcterms:W3CDTF">2026-09-17T07:44:13.393Z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