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Non-Functional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report is visual (not text), engineer review is mandatory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Added watertight output guarantee and Accuracy section,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2026-09-17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Fixed stale toolchain reference (pythonocc-core was our own placeholder, not confirmed) and team member name formatting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as FreeCAD Python API; added CPU-only inference constraint; clarified defeaturing accuracy (not CAE analysis accuracy) as the accuracy target; added failure-case retention for retraining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Non-Functional Requirements (NFR)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reduce CAD preprocessing (defeaturing) time by 70-90% compared to manual defeaturing, measured on representative test shapes.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Primary success criterion from the project proposal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complete feature recognition and removal for a single part within a reasonable time (e.g., a few minutes) on standard development hardware.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run inference on a standard office laptop without a GPU.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 — model training may use a GPU server, but deployed inference must not require one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Reliability &amp; Robustness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not modify or corrupt the original input STEP file; it shall remain unchanged during processing.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feature, avoid crashing or producing an invalid output file, and retain the failure information for later use.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Ties to FR-DEF-04; failure geometry + face ID stored for manual correction and retraining (confirmed 2026-09-18)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handle CAD models with moderately complex geometry (multiple bodies, curved surfaces), beyond the simple shapes used in early development.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Complexity ceiling still to be confirmed with HP mentor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Every output CAD model shall be a valid, watertight solid - free of gaps or non-manifold geometry left behind by feature removal.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Matches FR-DEF-02's watertight healing requirement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Portability &amp; Compatibility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run on the standard desktop operating systems used by team members (macOS, Windows, Linux) without requiring licensed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 NX dependency, per HP confirmation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read/write STEP files conforming to ISO 10303 (AP203/AP214/AP242) for interoperability with common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core processing pipeline shall be runnable headless (without the FreeCAD GUI), as standalone batch/automated code.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FreeCAD Python API run headless is the target, not manual GUI scripting; cadquery optional for STEP generation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Security &amp; Confidentiality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and its public repository shall not store or transmit any confidential HP CAD data.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HP's data-sharing policy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 training/validation data committed to the repository shall be either publicly available datasets, CAD shapes authored by the team, or manually-corrected failure cases generated by the team's own pipeline runs.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Usability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understandable by a non-AI-expert reviewer (e.g., a CAE engineer) at a glance, since the report is visual rather than text-based.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visual report, not text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provide clear error messages when an input file cannot be processed (e.g., unsupported STEP version, corrupted file).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designed as a decision-support tool that speeds up the engineer's work, not a fully autonomous replacement for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engineer review is unavoidable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6. Maintainability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codebase shall be organized into modules corresponding to the pipeline layers (CAD I/O, graph conversion, feature recognition, removal, validation) to allow independent development by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version-controlled using Git, with a shared GitHub repository and documented commit history accessible to all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7. Accuracy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NFR-ACC-01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system's feature-removal decisions shall be optimized to maximize defeaturing accuracy.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defeaturing accuracy is the top priority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NFR-ACC-02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Downstream CAE analysis accuracy (e.g., stress/deformation error) shall NOT be measured; it is explicitly out of scope for this project.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 — supersedes earlier framing that treated analysis accuracy as a design consideration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2026-09-17T07:44:51.526Z</dcterms:created>
  <dcterms:modified xsi:type="dcterms:W3CDTF">2026-09-17T07:44:51.530Z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