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Vangala Hemanth Reddy, Tahir Aneela,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Primary success criterion from the project proposal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 rather than crashing or producing an invalid output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should be runnable headless (without a GUI), independent of any visualization tool.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Depends on pythonocc-core vs. FreeCAD-API tooling decision, see step_library_comparison.md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 or CAD shapes authored by the team.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engineer), using clear terminology for feature types.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2026-09-10T07:50:58.099Z</dcterms:created>
  <dcterms:modified xsi:type="dcterms:W3CDTF">2026-09-10T07:50:58.102Z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