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MEMORANDUM OPINION AND ORDER</w:t>
      </w:r>
    </w:p>
    <w:p>
      <w:r>
        <w:t>Adopted: April 26, 2004</w:t>
      </w:r>
    </w:p>
    <w:p>
      <w:r>
        <w:t>Released: April 28, 2004</w:t>
      </w:r>
    </w:p>
    <w:p>
      <w:pPr>
        <w:pStyle w:val="Heading2"/>
      </w:pPr>
      <w:r>
        <w:t>INTRODUCTION</w:t>
      </w:r>
    </w:p>
    <w:p>
      <w:r>
        <w:t>(Please fill in additional content here)</w:t>
      </w:r>
    </w:p>
    <w:p>
      <w:pPr>
        <w:pStyle w:val="Heading2"/>
      </w:pPr>
      <w:r>
        <w:t>BACKGROUND</w:t>
      </w:r>
    </w:p>
    <w:p>
      <w:r>
        <w:t>Please fill in additional content here</w:t>
      </w:r>
    </w:p>
    <w:p>
      <w:pPr>
        <w:pStyle w:val="Heading2"/>
      </w:pPr>
      <w:r>
        <w:t>DISCUSSION</w:t>
      </w:r>
    </w:p>
    <w:p>
      <w:r>
        <w:t>Please fill in additional content here</w:t>
      </w:r>
    </w:p>
    <w:p>
      <w:pPr>
        <w:pStyle w:val="Heading2"/>
      </w:pPr>
      <w:r>
        <w:t>CONCLUSION</w:t>
      </w:r>
    </w:p>
    <w:p>
      <w:r>
        <w:t>Please fill in additional content here</w:t>
      </w:r>
    </w:p>
    <w:p>
      <w:pPr>
        <w:pStyle w:val="Heading2"/>
      </w:pPr>
      <w:r>
        <w:t>ORDERING CLAUSES</w:t>
      </w:r>
    </w:p>
    <w:p>
      <w:r>
        <w:t>Please fill in additional content here</w:t>
      </w:r>
    </w:p>
    <w:p>
      <w:r>
        <w:t>This action is taken under delegated authority pursuant to Sections 0.131 and 0.331 of the Commission’s Rules, 47 C.F.R. §§ 0.131, 0.331.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