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A13D7" w14:textId="2A616537" w:rsidR="16411ECB" w:rsidRDefault="16411ECB" w:rsidP="3F96DAD9">
      <w:pPr>
        <w:pStyle w:val="ListParagraph"/>
        <w:numPr>
          <w:ilvl w:val="0"/>
          <w:numId w:val="1"/>
        </w:numPr>
      </w:pPr>
      <w:r>
        <w:t xml:space="preserve">The most detailed explanation of the design of zoom lens can be found at </w:t>
      </w:r>
      <w:hyperlink r:id="rId8">
        <w:r w:rsidRPr="039E7A1B">
          <w:rPr>
            <w:rStyle w:val="Hyperlink"/>
          </w:rPr>
          <w:t>https://github.com/amsikking/any_immersion_remote_refocus_microscopy</w:t>
        </w:r>
        <w:r w:rsidR="04873D1A" w:rsidRPr="039E7A1B">
          <w:rPr>
            <w:rStyle w:val="Hyperlink"/>
          </w:rPr>
          <w:t>.</w:t>
        </w:r>
      </w:hyperlink>
      <w:r w:rsidR="04873D1A">
        <w:t xml:space="preserve"> This document does not include any theories behind the design and modelling of a zoom lens as it is far too complicated and way beyond </w:t>
      </w:r>
      <w:r w:rsidR="35AC3094">
        <w:t>my current knowledge.</w:t>
      </w:r>
    </w:p>
    <w:p w14:paraId="65D9C1B1" w14:textId="204A81A7" w:rsidR="039E7A1B" w:rsidRDefault="039E7A1B" w:rsidP="039E7A1B"/>
    <w:p w14:paraId="7BC1BF81" w14:textId="1DD337BD" w:rsidR="35AC3094" w:rsidRDefault="35AC3094" w:rsidP="3F96DAD9">
      <w:pPr>
        <w:pStyle w:val="ListParagraph"/>
        <w:numPr>
          <w:ilvl w:val="0"/>
          <w:numId w:val="1"/>
        </w:numPr>
      </w:pPr>
      <w:r>
        <w:t>Component list</w:t>
      </w:r>
    </w:p>
    <w:tbl>
      <w:tblPr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560"/>
        <w:gridCol w:w="2205"/>
        <w:gridCol w:w="2235"/>
        <w:gridCol w:w="960"/>
      </w:tblGrid>
      <w:tr w:rsidR="039E7A1B" w14:paraId="75FE7C9C" w14:textId="77777777" w:rsidTr="039E7A1B">
        <w:trPr>
          <w:trHeight w:val="285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D84BE1" w14:textId="06CC4374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b/>
                <w:bCs/>
                <w:color w:val="000000" w:themeColor="text1"/>
              </w:rPr>
              <w:t>Optical Part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8D549E" w14:textId="7067228F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Part description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80C3B5" w14:textId="7C767A44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Part number (Vendor)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6C58B5" w14:textId="72ADE501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b/>
                <w:bCs/>
                <w:color w:val="000000" w:themeColor="text1"/>
              </w:rPr>
              <w:t>Number</w:t>
            </w:r>
          </w:p>
        </w:tc>
      </w:tr>
      <w:tr w:rsidR="039E7A1B" w14:paraId="48F7F1FF" w14:textId="77777777" w:rsidTr="039E7A1B">
        <w:trPr>
          <w:trHeight w:val="285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D13B19" w14:textId="3B6DA4F5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Positive group 1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D60EB4" w14:textId="48AEDFEE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300mm aspherical lens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0DEC9A" w14:textId="400FCE24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47649 (Edmund Optics)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2F78EA" w14:textId="2FFB85CC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</w:tr>
      <w:tr w:rsidR="039E7A1B" w14:paraId="7D17B580" w14:textId="77777777" w:rsidTr="039E7A1B">
        <w:trPr>
          <w:trHeight w:val="285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BC0F59" w14:textId="1350AEDA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Negative group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25F274" w14:textId="3FCB6FB9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N 150mm lens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0E61BC" w14:textId="62BBE66E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62495 (Edmund Optics)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3BD57A" w14:textId="19B73EEA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39E7A1B" w14:paraId="2FBADC35" w14:textId="77777777" w:rsidTr="039E7A1B">
        <w:trPr>
          <w:trHeight w:val="285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BF9149" w14:textId="17172068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Positive group 2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F8ABA3" w14:textId="2DF2915C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250mm aspherica lens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99AC30" w14:textId="11AEA0E0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47647 (Edmund Optics)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D9CF2A" w14:textId="503DFD5E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</w:tr>
      <w:tr w:rsidR="039E7A1B" w14:paraId="356FA5D0" w14:textId="77777777" w:rsidTr="039E7A1B">
        <w:trPr>
          <w:trHeight w:val="285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2D2411" w14:textId="3411CE34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Mounting 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003448" w14:textId="2CF57C42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Part description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47948F" w14:textId="33DEE78E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Part number (Vendor)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B3277E" w14:textId="5B8261BD" w:rsidR="039E7A1B" w:rsidRDefault="039E7A1B"/>
        </w:tc>
      </w:tr>
      <w:tr w:rsidR="039E7A1B" w14:paraId="53CD0092" w14:textId="77777777" w:rsidTr="039E7A1B">
        <w:trPr>
          <w:trHeight w:val="285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5C4F51" w14:textId="1BBEE0FE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Linear stage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02155E" w14:textId="631DC883" w:rsidR="039E7A1B" w:rsidRDefault="039E7A1B"/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45BC33" w14:textId="46F365C6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DDS050 (Thorlabs)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17D50D" w14:textId="7F677519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</w:tr>
      <w:tr w:rsidR="039E7A1B" w14:paraId="767B0121" w14:textId="77777777" w:rsidTr="039E7A1B">
        <w:trPr>
          <w:trHeight w:val="285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1E036F" w14:textId="799F8580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Linear stage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C59DDF" w14:textId="29BC763B" w:rsidR="039E7A1B" w:rsidRDefault="039E7A1B"/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DDD339" w14:textId="102EB1E7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DDS100 (Thorlabs)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818E7E" w14:textId="68F30216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</w:tr>
      <w:tr w:rsidR="039E7A1B" w14:paraId="341F0D23" w14:textId="77777777" w:rsidTr="039E7A1B">
        <w:trPr>
          <w:trHeight w:val="285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C66592" w14:textId="1DC13416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Post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7831DE" w14:textId="5A83EF56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1''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387344" w14:textId="2E5F61E8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RS1 (Thorlabs)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4D9A22" w14:textId="626A1286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</w:tr>
      <w:tr w:rsidR="039E7A1B" w14:paraId="075CAA8B" w14:textId="77777777" w:rsidTr="039E7A1B">
        <w:trPr>
          <w:trHeight w:val="285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70DD95" w14:textId="35E2ED6A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Slip ring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81E091" w14:textId="67DABC28" w:rsidR="039E7A1B" w:rsidRDefault="039E7A1B"/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375174" w14:textId="3D3ACBD7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SM1RC (Thorlabs)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396AF0" w14:textId="3DFC1820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039E7A1B" w14:paraId="4AF170F3" w14:textId="77777777" w:rsidTr="039E7A1B">
        <w:trPr>
          <w:trHeight w:val="285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3BD9D1" w14:textId="6B1D6EB1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Mounting plate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F9372D" w14:textId="665BFBFF" w:rsidR="039E7A1B" w:rsidRDefault="039E7A1B"/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37E572" w14:textId="72CE7F85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UPB2 (Thorlabs)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DFB543" w14:textId="5C6EBB1A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039E7A1B" w14:paraId="100514BC" w14:textId="77777777" w:rsidTr="039E7A1B">
        <w:trPr>
          <w:trHeight w:val="285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C50CAF" w14:textId="7B0B7B45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Spacer ring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73B11B" w14:textId="11BDFA11" w:rsidR="039E7A1B" w:rsidRDefault="039E7A1B"/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F55554" w14:textId="1E29C9FD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SM1S1M (Thorlabs)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F5E72B" w14:textId="2E26CD1C" w:rsidR="039E7A1B" w:rsidRDefault="039E7A1B" w:rsidP="039E7A1B">
            <w:pPr>
              <w:spacing w:after="0"/>
            </w:pPr>
            <w:r w:rsidRPr="039E7A1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</w:tr>
    </w:tbl>
    <w:p w14:paraId="69690C9A" w14:textId="638D49C5" w:rsidR="039E7A1B" w:rsidRDefault="039E7A1B" w:rsidP="039E7A1B"/>
    <w:p w14:paraId="51834108" w14:textId="1C0A1866" w:rsidR="35AC3094" w:rsidRDefault="35AC3094" w:rsidP="3F96DAD9">
      <w:pPr>
        <w:pStyle w:val="ListParagraph"/>
        <w:numPr>
          <w:ilvl w:val="0"/>
          <w:numId w:val="1"/>
        </w:numPr>
      </w:pPr>
      <w:r>
        <w:t>Calculation of desired focal length</w:t>
      </w:r>
    </w:p>
    <w:p w14:paraId="2EE85D2B" w14:textId="3EAB2BE8" w:rsidR="35AC3094" w:rsidRPr="00CC17C7" w:rsidRDefault="35AC3094" w:rsidP="3F96DAD9">
      <w:pPr>
        <w:pStyle w:val="ListParagraph"/>
        <w:numPr>
          <w:ilvl w:val="1"/>
          <w:numId w:val="1"/>
        </w:numPr>
      </w:pPr>
      <w:r>
        <w:t xml:space="preserve">The magnification of a pair of lenses with light enters from lens one can be described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777EDE17" w14:textId="756B8216" w:rsidR="00CC17C7" w:rsidRPr="003C72C0" w:rsidRDefault="00CC17C7" w:rsidP="3F96DAD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To </w:t>
      </w:r>
      <w:r w:rsidR="00441F19">
        <w:rPr>
          <w:rFonts w:eastAsiaTheme="minorEastAsia"/>
        </w:rPr>
        <w:t xml:space="preserve">avoid spherical </w:t>
      </w:r>
      <w:r w:rsidR="0023494F">
        <w:rPr>
          <w:rFonts w:eastAsiaTheme="minorEastAsia"/>
        </w:rPr>
        <w:t xml:space="preserve">aberration </w:t>
      </w:r>
      <w:r w:rsidR="003C72C0">
        <w:rPr>
          <w:rFonts w:eastAsiaTheme="minorEastAsia"/>
        </w:rPr>
        <w:t>at remote refocusing point, the magnification between O1 and O2 needs to be the same as refractive index of the immersion medium</w:t>
      </w:r>
    </w:p>
    <w:p w14:paraId="69D8FBD7" w14:textId="50A2F9CF" w:rsidR="003C72C0" w:rsidRPr="00297F42" w:rsidRDefault="00AD003F" w:rsidP="3F96DAD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Using this microscope setup and water as immersion medium as example:</w:t>
      </w:r>
    </w:p>
    <w:p w14:paraId="67B4805A" w14:textId="20C909B0" w:rsidR="00AD003F" w:rsidRPr="002666CA" w:rsidRDefault="006E19A6" w:rsidP="00AD003F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TL1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SL2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SL1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ZL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den>
          </m:f>
        </m:oMath>
      </m:oMathPara>
    </w:p>
    <w:p w14:paraId="745DC1E7" w14:textId="5A02D6B3" w:rsidR="002666CA" w:rsidRPr="009669E2" w:rsidRDefault="002666CA" w:rsidP="00AD003F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=20×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</m:t>
              </m:r>
            </m:num>
            <m:den>
              <m:r>
                <w:rPr>
                  <w:rFonts w:ascii="Cambria Math" w:hAnsi="Cambria Math"/>
                </w:rPr>
                <m:t>180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88.9</m:t>
              </m:r>
            </m:num>
            <m:den>
              <m:r>
                <w:rPr>
                  <w:rFonts w:ascii="Cambria Math" w:hAnsi="Cambria Math"/>
                </w:rPr>
                <m:t>75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=1.33</m:t>
          </m:r>
        </m:oMath>
      </m:oMathPara>
    </w:p>
    <w:p w14:paraId="4A2A90BC" w14:textId="4C27A1D9" w:rsidR="009669E2" w:rsidRPr="0071457F" w:rsidRDefault="009669E2" w:rsidP="00AD003F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r>
            <w:rPr>
              <w:rFonts w:ascii="Cambria Math" w:hAnsi="Cambria Math"/>
            </w:rPr>
            <m:t>148.54</m:t>
          </m:r>
        </m:oMath>
      </m:oMathPara>
    </w:p>
    <w:p w14:paraId="7626B330" w14:textId="1E9969E1" w:rsidR="00297F42" w:rsidRPr="000537C1" w:rsidRDefault="00297F42" w:rsidP="00297F42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The focal length of a</w:t>
      </w:r>
      <w:r w:rsidR="00173778">
        <w:rPr>
          <w:rFonts w:eastAsiaTheme="minorEastAsia"/>
        </w:rPr>
        <w:t>n</w:t>
      </w:r>
      <w:r>
        <w:rPr>
          <w:rFonts w:eastAsiaTheme="minorEastAsia"/>
        </w:rPr>
        <w:t xml:space="preserve"> objective lens is an intrinsic value </w:t>
      </w:r>
      <w:r w:rsidR="00944A31">
        <w:rPr>
          <w:rFonts w:eastAsiaTheme="minorEastAsia"/>
        </w:rPr>
        <w:t>and often not reported by the manufacturer.</w:t>
      </w:r>
      <w:r w:rsidR="00173778">
        <w:rPr>
          <w:rFonts w:eastAsiaTheme="minorEastAsia"/>
        </w:rPr>
        <w:t xml:space="preserve"> A list for </w:t>
      </w:r>
      <w:r w:rsidR="009532E1">
        <w:rPr>
          <w:rFonts w:eastAsiaTheme="minorEastAsia"/>
        </w:rPr>
        <w:t xml:space="preserve">focal length for objective lens from major manufacturers can be found </w:t>
      </w:r>
      <w:r w:rsidR="0037646B">
        <w:rPr>
          <w:rFonts w:eastAsiaTheme="minorEastAsia"/>
        </w:rPr>
        <w:t xml:space="preserve">in </w:t>
      </w:r>
      <w:hyperlink r:id="rId9" w:history="1">
        <w:r w:rsidR="0037646B" w:rsidRPr="009351E1">
          <w:rPr>
            <w:rStyle w:val="Hyperlink"/>
            <w:rFonts w:eastAsiaTheme="minorEastAsia"/>
          </w:rPr>
          <w:t>https://amsikking.github.io/microscope_objectives/tube_lens.html</w:t>
        </w:r>
      </w:hyperlink>
      <w:r w:rsidR="0037646B">
        <w:rPr>
          <w:rFonts w:eastAsiaTheme="minorEastAsia"/>
        </w:rPr>
        <w:t xml:space="preserve"> </w:t>
      </w:r>
    </w:p>
    <w:p w14:paraId="53F099D0" w14:textId="3568E969" w:rsidR="00283489" w:rsidRPr="00283489" w:rsidRDefault="00283489" w:rsidP="00B70A06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Plossl lens: </w:t>
      </w:r>
    </w:p>
    <w:p w14:paraId="4BE26743" w14:textId="29524367" w:rsidR="000537C1" w:rsidRPr="00AD003F" w:rsidRDefault="000537C1" w:rsidP="00283489">
      <w:pPr>
        <w:pStyle w:val="ListParagraph"/>
      </w:pPr>
      <w:r w:rsidRPr="00B70A06">
        <w:rPr>
          <w:rFonts w:eastAsiaTheme="minorEastAsia"/>
        </w:rPr>
        <w:t xml:space="preserve">The shorter focal length of a lens, the greater curvature would be and leads to </w:t>
      </w:r>
      <w:r w:rsidR="00F02153" w:rsidRPr="00B70A06">
        <w:rPr>
          <w:rFonts w:eastAsiaTheme="minorEastAsia"/>
        </w:rPr>
        <w:t xml:space="preserve">worse imaging quality. </w:t>
      </w:r>
      <w:r w:rsidR="00E0055F" w:rsidRPr="00B70A06">
        <w:rPr>
          <w:rFonts w:eastAsiaTheme="minorEastAsia"/>
        </w:rPr>
        <w:t xml:space="preserve">However, it is possible to </w:t>
      </w:r>
      <w:r w:rsidR="00C03442" w:rsidRPr="00B70A06">
        <w:rPr>
          <w:rFonts w:eastAsiaTheme="minorEastAsia"/>
        </w:rPr>
        <w:t xml:space="preserve">construct </w:t>
      </w:r>
      <w:r w:rsidR="00236E8F" w:rsidRPr="00B70A06">
        <w:rPr>
          <w:rFonts w:eastAsiaTheme="minorEastAsia"/>
        </w:rPr>
        <w:t xml:space="preserve">a Plossl lens pair to partially </w:t>
      </w:r>
      <w:r w:rsidR="00AD1397" w:rsidRPr="00B70A06">
        <w:rPr>
          <w:rFonts w:eastAsiaTheme="minorEastAsia"/>
        </w:rPr>
        <w:t>avoid</w:t>
      </w:r>
      <w:r w:rsidR="00236E8F" w:rsidRPr="00B70A06">
        <w:rPr>
          <w:rFonts w:eastAsiaTheme="minorEastAsia"/>
        </w:rPr>
        <w:t xml:space="preserve"> this issue.</w:t>
      </w:r>
      <w:r w:rsidR="00AD1397" w:rsidRPr="00B70A06">
        <w:rPr>
          <w:rFonts w:eastAsiaTheme="minorEastAsia"/>
        </w:rPr>
        <w:t xml:space="preserve"> Essentially Plossl lens is formed using 2 identical aspherical lens</w:t>
      </w:r>
      <w:r w:rsidR="00FF6159" w:rsidRPr="00B70A06">
        <w:rPr>
          <w:rFonts w:eastAsiaTheme="minorEastAsia"/>
        </w:rPr>
        <w:t>es</w:t>
      </w:r>
      <w:r w:rsidR="00AD1397" w:rsidRPr="00B70A06">
        <w:rPr>
          <w:rFonts w:eastAsiaTheme="minorEastAsia"/>
        </w:rPr>
        <w:t xml:space="preserve"> by placing them </w:t>
      </w:r>
      <w:r w:rsidR="00A74A93" w:rsidRPr="00B70A06">
        <w:rPr>
          <w:rFonts w:eastAsiaTheme="minorEastAsia"/>
        </w:rPr>
        <w:t xml:space="preserve">close to each other and the resulting </w:t>
      </w:r>
      <w:r w:rsidR="000807C4" w:rsidRPr="00B70A06">
        <w:rPr>
          <w:rFonts w:eastAsiaTheme="minorEastAsia"/>
        </w:rPr>
        <w:t xml:space="preserve">focal length of the lens pair will be halved </w:t>
      </w:r>
      <w:r w:rsidR="00FF6159" w:rsidRPr="00B70A06">
        <w:rPr>
          <w:rFonts w:eastAsiaTheme="minorEastAsia"/>
        </w:rPr>
        <w:t>compared</w:t>
      </w:r>
      <w:r w:rsidR="000807C4" w:rsidRPr="00B70A06">
        <w:rPr>
          <w:rFonts w:eastAsiaTheme="minorEastAsia"/>
        </w:rPr>
        <w:t xml:space="preserve"> to individual lenses. In this zoom lens, both positive lens group </w:t>
      </w:r>
      <w:r w:rsidR="00FF6159" w:rsidRPr="00B70A06">
        <w:rPr>
          <w:rFonts w:eastAsiaTheme="minorEastAsia"/>
        </w:rPr>
        <w:t>are constructed this way</w:t>
      </w:r>
      <w:r w:rsidR="003A489F" w:rsidRPr="00B70A06">
        <w:rPr>
          <w:rFonts w:eastAsiaTheme="minorEastAsia"/>
        </w:rPr>
        <w:t xml:space="preserve"> with </w:t>
      </w:r>
      <w:r w:rsidR="00975DDD" w:rsidRPr="00B70A06">
        <w:rPr>
          <w:rFonts w:eastAsiaTheme="minorEastAsia"/>
        </w:rPr>
        <w:t xml:space="preserve">spacer ringer </w:t>
      </w:r>
      <w:r w:rsidR="00F07E06" w:rsidRPr="00B70A06">
        <w:rPr>
          <w:rFonts w:eastAsiaTheme="minorEastAsia"/>
        </w:rPr>
        <w:t>separating 2 identical lenses.</w:t>
      </w:r>
    </w:p>
    <w:p w14:paraId="61AA3180" w14:textId="77777777" w:rsidR="0071457F" w:rsidRPr="002666CA" w:rsidRDefault="0071457F" w:rsidP="00AD003F">
      <w:pPr>
        <w:pStyle w:val="ListParagraph"/>
        <w:ind w:left="1440"/>
        <w:rPr>
          <w:rFonts w:eastAsiaTheme="minorEastAsia"/>
        </w:rPr>
      </w:pPr>
    </w:p>
    <w:sectPr w:rsidR="0071457F" w:rsidRPr="0026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6846"/>
    <w:multiLevelType w:val="hybridMultilevel"/>
    <w:tmpl w:val="E4064266"/>
    <w:lvl w:ilvl="0" w:tplc="9AA40C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2A83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4EC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64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6EB7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288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081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2C6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D89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26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B4D656"/>
    <w:rsid w:val="000537C1"/>
    <w:rsid w:val="00076126"/>
    <w:rsid w:val="000807C4"/>
    <w:rsid w:val="00173778"/>
    <w:rsid w:val="001C472F"/>
    <w:rsid w:val="0023494F"/>
    <w:rsid w:val="00236E8F"/>
    <w:rsid w:val="002666CA"/>
    <w:rsid w:val="00283489"/>
    <w:rsid w:val="00297F42"/>
    <w:rsid w:val="0037646B"/>
    <w:rsid w:val="003A489F"/>
    <w:rsid w:val="003C72C0"/>
    <w:rsid w:val="00441F19"/>
    <w:rsid w:val="006E19A6"/>
    <w:rsid w:val="006F1829"/>
    <w:rsid w:val="0071457F"/>
    <w:rsid w:val="00714BB1"/>
    <w:rsid w:val="007A76FF"/>
    <w:rsid w:val="00815B16"/>
    <w:rsid w:val="00825B8E"/>
    <w:rsid w:val="00944A31"/>
    <w:rsid w:val="009532E1"/>
    <w:rsid w:val="009669E2"/>
    <w:rsid w:val="00975DDD"/>
    <w:rsid w:val="009E3632"/>
    <w:rsid w:val="00A74A93"/>
    <w:rsid w:val="00A8F5CA"/>
    <w:rsid w:val="00AD003F"/>
    <w:rsid w:val="00AD1397"/>
    <w:rsid w:val="00AD2E63"/>
    <w:rsid w:val="00B273E8"/>
    <w:rsid w:val="00B70A06"/>
    <w:rsid w:val="00B96DE2"/>
    <w:rsid w:val="00C03442"/>
    <w:rsid w:val="00C45837"/>
    <w:rsid w:val="00C76C9E"/>
    <w:rsid w:val="00CC17C7"/>
    <w:rsid w:val="00E0055F"/>
    <w:rsid w:val="00EC3F11"/>
    <w:rsid w:val="00F02153"/>
    <w:rsid w:val="00F07E06"/>
    <w:rsid w:val="00F3545D"/>
    <w:rsid w:val="00FF6159"/>
    <w:rsid w:val="02EB6CB9"/>
    <w:rsid w:val="039E7A1B"/>
    <w:rsid w:val="04873D1A"/>
    <w:rsid w:val="0A3BBAD3"/>
    <w:rsid w:val="16411ECB"/>
    <w:rsid w:val="34106033"/>
    <w:rsid w:val="35AC3094"/>
    <w:rsid w:val="3F96DAD9"/>
    <w:rsid w:val="47B4D656"/>
    <w:rsid w:val="72AAF96C"/>
    <w:rsid w:val="7DC4F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4D656"/>
  <w15:chartTrackingRefBased/>
  <w15:docId w15:val="{4DF9F53F-1B11-44DC-8DEB-147D3A14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15B1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76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sikking/any_immersion_remote_refocus_microscopy.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msikking.github.io/microscope_objectives/tube_le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64b376c-a418-44e5-afad-e9ac229ad948" xsi:nil="true"/>
    <lcf76f155ced4ddcb4097134ff3c332f xmlns="c2a5ddb6-48d6-44f1-8813-eb8b696d921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4F371ED6087D47804AB5837B455BC3" ma:contentTypeVersion="14" ma:contentTypeDescription="Create a new document." ma:contentTypeScope="" ma:versionID="464ff102a7144152c589e51b741c710b">
  <xsd:schema xmlns:xsd="http://www.w3.org/2001/XMLSchema" xmlns:xs="http://www.w3.org/2001/XMLSchema" xmlns:p="http://schemas.microsoft.com/office/2006/metadata/properties" xmlns:ns2="464b376c-a418-44e5-afad-e9ac229ad948" xmlns:ns3="c2a5ddb6-48d6-44f1-8813-eb8b696d9215" targetNamespace="http://schemas.microsoft.com/office/2006/metadata/properties" ma:root="true" ma:fieldsID="c7a2c127442c6de782164581b48f3707" ns2:_="" ns3:_="">
    <xsd:import namespace="464b376c-a418-44e5-afad-e9ac229ad948"/>
    <xsd:import namespace="c2a5ddb6-48d6-44f1-8813-eb8b696d921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4b376c-a418-44e5-afad-e9ac229ad9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559935e-09f3-45cf-8664-cf5e1e8edfbd}" ma:internalName="TaxCatchAll" ma:showField="CatchAllData" ma:web="464b376c-a418-44e5-afad-e9ac229ad9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5ddb6-48d6-44f1-8813-eb8b696d92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baaf764-73f0-4b4c-b8e1-b7d465e08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B4D73A-676B-4EFC-9B90-D9C0C02AA060}">
  <ds:schemaRefs>
    <ds:schemaRef ds:uri="http://schemas.microsoft.com/office/2006/metadata/properties"/>
    <ds:schemaRef ds:uri="http://schemas.microsoft.com/office/infopath/2007/PartnerControls"/>
    <ds:schemaRef ds:uri="464b376c-a418-44e5-afad-e9ac229ad948"/>
    <ds:schemaRef ds:uri="c2a5ddb6-48d6-44f1-8813-eb8b696d9215"/>
  </ds:schemaRefs>
</ds:datastoreItem>
</file>

<file path=customXml/itemProps2.xml><?xml version="1.0" encoding="utf-8"?>
<ds:datastoreItem xmlns:ds="http://schemas.openxmlformats.org/officeDocument/2006/customXml" ds:itemID="{E14A6090-2709-47DA-B09A-0015D5E933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9CAEB2-6B16-4940-BCA4-2E342AA70F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4b376c-a418-44e5-afad-e9ac229ad948"/>
    <ds:schemaRef ds:uri="c2a5ddb6-48d6-44f1-8813-eb8b696d92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338</Words>
  <Characters>1929</Characters>
  <Application>Microsoft Office Word</Application>
  <DocSecurity>4</DocSecurity>
  <Lines>16</Lines>
  <Paragraphs>4</Paragraphs>
  <ScaleCrop>false</ScaleCrop>
  <Company/>
  <LinksUpToDate>false</LinksUpToDate>
  <CharactersWithSpaces>2263</CharactersWithSpaces>
  <SharedDoc>false</SharedDoc>
  <HLinks>
    <vt:vector size="12" baseType="variant">
      <vt:variant>
        <vt:i4>1572881</vt:i4>
      </vt:variant>
      <vt:variant>
        <vt:i4>3</vt:i4>
      </vt:variant>
      <vt:variant>
        <vt:i4>0</vt:i4>
      </vt:variant>
      <vt:variant>
        <vt:i4>5</vt:i4>
      </vt:variant>
      <vt:variant>
        <vt:lpwstr>https://amsikking.github.io/microscope_objectives/tube_lens.html</vt:lpwstr>
      </vt:variant>
      <vt:variant>
        <vt:lpwstr/>
      </vt:variant>
      <vt:variant>
        <vt:i4>524293</vt:i4>
      </vt:variant>
      <vt:variant>
        <vt:i4>0</vt:i4>
      </vt:variant>
      <vt:variant>
        <vt:i4>0</vt:i4>
      </vt:variant>
      <vt:variant>
        <vt:i4>5</vt:i4>
      </vt:variant>
      <vt:variant>
        <vt:lpwstr>https://github.com/amsikking/any_immersion_remote_refocus_microscopy.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Junqing Jiang</dc:creator>
  <cp:keywords/>
  <dc:description/>
  <cp:lastModifiedBy>Junqing Jiang</cp:lastModifiedBy>
  <cp:revision>42</cp:revision>
  <dcterms:created xsi:type="dcterms:W3CDTF">2023-08-25T20:52:00Z</dcterms:created>
  <dcterms:modified xsi:type="dcterms:W3CDTF">2023-08-25T23:13:00Z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0x0101005B4F371ED6087D47804AB5837B455BC3</vt:lpwstr>
  </property>
  <property fmtid="{D5CDD505-2E9C-101B-9397-08002B2CF9AE}" pid="3" name="MediaServiceImageTags">
    <vt:lpwstr/>
  </property>
</Properties>
</file>