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C5700" w14:textId="77777777" w:rsidR="00AE7951" w:rsidRDefault="00000000">
      <w:pPr>
        <w:pStyle w:val="1"/>
      </w:pPr>
      <w:r>
        <w:t>Sample Pipeline Output — Iteration 1</w:t>
      </w:r>
    </w:p>
    <w:p w14:paraId="7D9288EB" w14:textId="77777777" w:rsidR="00AE7951" w:rsidRPr="00AA1B28" w:rsidRDefault="00000000">
      <w:pPr>
        <w:rPr>
          <w:iCs/>
        </w:rPr>
      </w:pPr>
      <w:r w:rsidRPr="00AA1B28">
        <w:rPr>
          <w:iCs/>
        </w:rPr>
        <w:t>Paper: Achterberg et al. (2016)</w:t>
      </w:r>
    </w:p>
    <w:p w14:paraId="799B8B1D" w14:textId="77777777" w:rsidR="00AE7951" w:rsidRDefault="00AE7951"/>
    <w:p w14:paraId="5F34DF87" w14:textId="77777777" w:rsidR="00AE7951" w:rsidRDefault="00000000">
      <w:r>
        <w:rPr>
          <w:b/>
          <w:color w:val="1F497D"/>
        </w:rPr>
        <w:t>── Step 1 · Retrieval Query ───────────────────────────────────</w:t>
      </w:r>
    </w:p>
    <w:p w14:paraId="0A7031F6" w14:textId="77777777" w:rsidR="00AE7951" w:rsidRDefault="00000000">
      <w:r>
        <w:rPr>
          <w:b/>
          <w:i/>
          <w:color w:val="606060"/>
        </w:rPr>
        <w:t xml:space="preserve">[Explanation] </w:t>
      </w:r>
      <w:r>
        <w:rPr>
          <w:i/>
          <w:color w:val="606060"/>
        </w:rPr>
        <w:t>Short keyword string sent to the hybrid BM25 + vector retriever to locate relevant passages from the paper.</w:t>
      </w:r>
    </w:p>
    <w:p w14:paraId="0D395DC5" w14:textId="77777777" w:rsidR="00AE7951" w:rsidRDefault="00000000">
      <w:pPr>
        <w:pStyle w:val="a9"/>
      </w:pPr>
      <w:r>
        <w:rPr>
          <w:rFonts w:ascii="Courier New" w:hAnsi="Courier New"/>
          <w:sz w:val="18"/>
        </w:rPr>
        <w:t xml:space="preserve">  delay time length future days</w:t>
      </w:r>
    </w:p>
    <w:p w14:paraId="6CCF1944" w14:textId="77777777" w:rsidR="00AE7951" w:rsidRDefault="00AE7951"/>
    <w:p w14:paraId="60094993" w14:textId="77777777" w:rsidR="00AE7951" w:rsidRDefault="00000000">
      <w:r>
        <w:rPr>
          <w:b/>
          <w:color w:val="1F497D"/>
        </w:rPr>
        <w:t>── Step 2 · Full Query Prompt ─────────────────────────────────</w:t>
      </w:r>
    </w:p>
    <w:p w14:paraId="5F58809D" w14:textId="77777777" w:rsidR="00AE7951" w:rsidRDefault="00000000">
      <w:r>
        <w:rPr>
          <w:b/>
          <w:i/>
          <w:color w:val="606060"/>
        </w:rPr>
        <w:t xml:space="preserve">[Explanation] </w:t>
      </w:r>
      <w:r>
        <w:rPr>
          <w:i/>
          <w:color w:val="606060"/>
        </w:rPr>
        <w:t>Complete instruction prompt sent to the LLM together with the retrieved context. Specifies the extraction task, output format, unit-conversion rules, and how to handle missing information.</w:t>
      </w:r>
    </w:p>
    <w:p w14:paraId="614AFCAC" w14:textId="77777777" w:rsidR="00AE7951" w:rsidRDefault="00000000">
      <w:pPr>
        <w:pStyle w:val="a9"/>
      </w:pPr>
      <w:r>
        <w:rPr>
          <w:rFonts w:ascii="Courier New" w:hAnsi="Courier New"/>
          <w:sz w:val="18"/>
        </w:rPr>
        <w:t xml:space="preserve">  Identify the delay lengths associated with the larger–later reward in the delay discounting task</w:t>
      </w:r>
    </w:p>
    <w:p w14:paraId="14CC3312" w14:textId="77777777" w:rsidR="00AE7951" w:rsidRDefault="00000000">
      <w:pPr>
        <w:pStyle w:val="a9"/>
      </w:pPr>
      <w:r>
        <w:rPr>
          <w:rFonts w:ascii="Courier New" w:hAnsi="Courier New"/>
          <w:sz w:val="18"/>
        </w:rPr>
        <w:t xml:space="preserve">  described in this paper.</w:t>
      </w:r>
    </w:p>
    <w:p w14:paraId="78CFF22F" w14:textId="77777777" w:rsidR="00AE7951" w:rsidRDefault="00AE7951">
      <w:pPr>
        <w:pStyle w:val="a9"/>
      </w:pPr>
    </w:p>
    <w:p w14:paraId="5C8ADB33" w14:textId="77777777" w:rsidR="00AE7951" w:rsidRDefault="00000000">
      <w:pPr>
        <w:pStyle w:val="a9"/>
      </w:pPr>
      <w:r>
        <w:rPr>
          <w:rFonts w:ascii="Courier New" w:hAnsi="Courier New"/>
          <w:sz w:val="18"/>
        </w:rPr>
        <w:t xml:space="preserve">  In one or two sentences:</w:t>
      </w:r>
    </w:p>
    <w:p w14:paraId="5608238B" w14:textId="77777777" w:rsidR="00AE7951" w:rsidRDefault="00000000">
      <w:pPr>
        <w:pStyle w:val="a9"/>
      </w:pPr>
      <w:r>
        <w:rPr>
          <w:rFonts w:ascii="Courier New" w:hAnsi="Courier New"/>
          <w:sz w:val="18"/>
        </w:rPr>
        <w:t xml:space="preserve">  1. List ALL delay lengths for the larger–later reward in the delay discounting task.</w:t>
      </w:r>
    </w:p>
    <w:p w14:paraId="11487A8B" w14:textId="77777777" w:rsidR="00AE7951" w:rsidRDefault="00000000">
      <w:pPr>
        <w:pStyle w:val="a9"/>
      </w:pPr>
      <w:r>
        <w:rPr>
          <w:rFonts w:ascii="Courier New" w:hAnsi="Courier New"/>
          <w:sz w:val="18"/>
        </w:rPr>
        <w:t xml:space="preserve">     - If delays are reported as smaller–sooner delays plus an additional delay for the larger–later reward,</w:t>
      </w:r>
    </w:p>
    <w:p w14:paraId="2491E151" w14:textId="77777777" w:rsidR="00AE7951" w:rsidRDefault="00000000">
      <w:pPr>
        <w:pStyle w:val="a9"/>
      </w:pPr>
      <w:r>
        <w:rPr>
          <w:rFonts w:ascii="Courier New" w:hAnsi="Courier New"/>
          <w:sz w:val="18"/>
        </w:rPr>
        <w:t xml:space="preserve">       combine them to derive the larger–later delays.</w:t>
      </w:r>
    </w:p>
    <w:p w14:paraId="0B7DAA75" w14:textId="77777777" w:rsidR="00AE7951" w:rsidRDefault="00000000">
      <w:pPr>
        <w:pStyle w:val="a9"/>
      </w:pPr>
      <w:r>
        <w:rPr>
          <w:rFonts w:ascii="Courier New" w:hAnsi="Courier New"/>
          <w:sz w:val="18"/>
        </w:rPr>
        <w:t xml:space="preserve">  2. Convert EVERY delay length into days (1 week = 7 days, 1 month = 30 days, 1 year = 365 days).</w:t>
      </w:r>
    </w:p>
    <w:p w14:paraId="6F010FA9" w14:textId="77777777" w:rsidR="00AE7951" w:rsidRDefault="00000000">
      <w:pPr>
        <w:pStyle w:val="a9"/>
      </w:pPr>
      <w:r>
        <w:rPr>
          <w:rFonts w:ascii="Courier New" w:hAnsi="Courier New"/>
          <w:sz w:val="18"/>
        </w:rPr>
        <w:t xml:space="preserve">  3. If the paper does not explicitly provide sufficient information to determine the delay lengths,</w:t>
      </w:r>
    </w:p>
    <w:p w14:paraId="16C2B956" w14:textId="77777777" w:rsidR="00AE7951" w:rsidRDefault="00000000">
      <w:pPr>
        <w:pStyle w:val="a9"/>
      </w:pPr>
      <w:r>
        <w:rPr>
          <w:rFonts w:ascii="Courier New" w:hAnsi="Courier New"/>
          <w:sz w:val="18"/>
        </w:rPr>
        <w:t xml:space="preserve">     clearly state that the delay information is not reported.</w:t>
      </w:r>
    </w:p>
    <w:p w14:paraId="474CE44B" w14:textId="77777777" w:rsidR="00AE7951" w:rsidRDefault="00AE7951"/>
    <w:p w14:paraId="6BDEF918" w14:textId="77777777" w:rsidR="00AE7951" w:rsidRDefault="00000000">
      <w:r>
        <w:rPr>
          <w:b/>
          <w:color w:val="1F497D"/>
        </w:rPr>
        <w:t>── Step 3 · Retrieved Context ─────────────────────────────────</w:t>
      </w:r>
    </w:p>
    <w:p w14:paraId="6407047A" w14:textId="77777777" w:rsidR="00AE7951" w:rsidRDefault="00000000">
      <w:r>
        <w:rPr>
          <w:b/>
          <w:i/>
          <w:color w:val="606060"/>
        </w:rPr>
        <w:t xml:space="preserve">[Explanation] </w:t>
      </w:r>
      <w:r>
        <w:rPr>
          <w:i/>
          <w:color w:val="606060"/>
        </w:rPr>
        <w:t>Text chunks returned by the retriever. These passages form the evidence the LLM reasons over when producing its response.</w:t>
      </w:r>
    </w:p>
    <w:p w14:paraId="7C43B8C6" w14:textId="77777777" w:rsidR="00AE7951" w:rsidRDefault="00000000">
      <w:pPr>
        <w:pStyle w:val="a9"/>
      </w:pPr>
      <w:r>
        <w:rPr>
          <w:rFonts w:ascii="Courier New" w:hAnsi="Courier New"/>
          <w:sz w:val="18"/>
        </w:rPr>
        <w:t xml:space="preserve">  Therefore, the relation between age and delay of gratification performance was mediated by WM integrity within the frontostriatal tract at both time points.</w:t>
      </w:r>
    </w:p>
    <w:p w14:paraId="4D1478D1" w14:textId="77777777" w:rsidR="00AE7951" w:rsidRDefault="00AE7951">
      <w:pPr>
        <w:pStyle w:val="a9"/>
      </w:pPr>
    </w:p>
    <w:p w14:paraId="256BD18E" w14:textId="77777777" w:rsidR="00AE7951" w:rsidRDefault="00000000">
      <w:pPr>
        <w:pStyle w:val="a9"/>
      </w:pPr>
      <w:r>
        <w:rPr>
          <w:rFonts w:ascii="Courier New" w:hAnsi="Courier New"/>
          <w:sz w:val="18"/>
        </w:rPr>
        <w:t xml:space="preserve">  # Longitudinal prediction</w:t>
      </w:r>
    </w:p>
    <w:p w14:paraId="3452F014" w14:textId="77777777" w:rsidR="00AE7951" w:rsidRDefault="00AE7951">
      <w:pPr>
        <w:pStyle w:val="a9"/>
      </w:pPr>
    </w:p>
    <w:p w14:paraId="6CD111A5" w14:textId="77777777" w:rsidR="00AE7951" w:rsidRDefault="00000000">
      <w:pPr>
        <w:pStyle w:val="a9"/>
      </w:pPr>
      <w:r>
        <w:rPr>
          <w:rFonts w:ascii="Courier New" w:hAnsi="Courier New"/>
          <w:sz w:val="18"/>
        </w:rPr>
        <w:t xml:space="preserve">  To test whether WM integrity of the frontostriatal tract could predict future discounting behavior, we performed a linear regression analysis with delay of gratification skills (AUC normal</w:t>
      </w:r>
    </w:p>
    <w:p w14:paraId="2B9ED3BD" w14:textId="77777777" w:rsidR="00AE7951" w:rsidRDefault="00AE7951">
      <w:pPr>
        <w:pStyle w:val="a9"/>
      </w:pPr>
    </w:p>
    <w:p w14:paraId="072DC99D" w14:textId="77777777" w:rsidR="00AE7951" w:rsidRDefault="00000000">
      <w:pPr>
        <w:pStyle w:val="a9"/>
      </w:pPr>
      <w:r>
        <w:rPr>
          <w:rFonts w:ascii="Courier New" w:hAnsi="Courier New"/>
          <w:sz w:val="18"/>
        </w:rPr>
        <w:t xml:space="preserve">  [img-6.jpeg]</w:t>
      </w:r>
    </w:p>
    <w:p w14:paraId="029C383F" w14:textId="77777777" w:rsidR="00AE7951" w:rsidRDefault="00AE7951">
      <w:pPr>
        <w:pStyle w:val="a9"/>
      </w:pPr>
    </w:p>
    <w:p w14:paraId="3E2682CF" w14:textId="77777777" w:rsidR="00AE7951" w:rsidRDefault="00000000">
      <w:pPr>
        <w:pStyle w:val="a9"/>
      </w:pPr>
      <w:r>
        <w:rPr>
          <w:rFonts w:ascii="Courier New" w:hAnsi="Courier New"/>
          <w:sz w:val="18"/>
        </w:rPr>
        <w:t xml:space="preserve">  [img-7.jpeg]</w:t>
      </w:r>
    </w:p>
    <w:p w14:paraId="66750256" w14:textId="77777777" w:rsidR="00AE7951" w:rsidRDefault="00000000">
      <w:pPr>
        <w:pStyle w:val="a9"/>
      </w:pPr>
      <w:r>
        <w:rPr>
          <w:rFonts w:ascii="Courier New" w:hAnsi="Courier New"/>
          <w:sz w:val="18"/>
        </w:rPr>
        <w:t xml:space="preserve">  Figure 3. Mediation models. The relation between age and delay of gratification skills is partly mediated by FA at T1 (a) and at T2 (b). Values are standardized regression coefficients and asterisks indicate significance coefficients (*p &lt; 0.05; **p &lt; 0.01; ***p &lt; 0.001).</w:t>
      </w:r>
    </w:p>
    <w:p w14:paraId="31E7847F" w14:textId="77777777" w:rsidR="00AE7951" w:rsidRDefault="00AE7951">
      <w:pPr>
        <w:pStyle w:val="a9"/>
      </w:pPr>
    </w:p>
    <w:p w14:paraId="19D2BB27" w14:textId="77777777" w:rsidR="00AE7951" w:rsidRDefault="00000000">
      <w:pPr>
        <w:pStyle w:val="a9"/>
      </w:pPr>
      <w:r>
        <w:rPr>
          <w:rFonts w:ascii="Courier New" w:hAnsi="Courier New"/>
          <w:sz w:val="18"/>
        </w:rPr>
        <w:t xml:space="preserve">  [img-8.jpeg]</w:t>
      </w:r>
    </w:p>
    <w:p w14:paraId="446297CA" w14:textId="77777777" w:rsidR="00AE7951" w:rsidRDefault="00000000">
      <w:pPr>
        <w:pStyle w:val="a9"/>
      </w:pPr>
      <w:r>
        <w:rPr>
          <w:rFonts w:ascii="Courier New" w:hAnsi="Courier New"/>
          <w:sz w:val="18"/>
        </w:rPr>
        <w:t xml:space="preserve">  Figure 4.</w:t>
      </w:r>
    </w:p>
    <w:p w14:paraId="15660B4F" w14:textId="77777777" w:rsidR="00AE7951" w:rsidRDefault="00000000">
      <w:pPr>
        <w:pStyle w:val="a9"/>
      </w:pPr>
      <w:r>
        <w:rPr>
          <w:rFonts w:ascii="Courier New" w:hAnsi="Courier New"/>
          <w:sz w:val="18"/>
        </w:rPr>
        <w:t xml:space="preserve">  Different subsets were used to prevent learning effects. The demographic characteristics of the sample are listed in Table 1. There was no significant correlation between estimated IQ and delay of gratification skills at T1 (r = 0.0195, p = 0.195) nor at T2 (r = 0.113, p = 0.119). Therefore, IQ was not included as a covariate in the remaining analyses.</w:t>
      </w:r>
    </w:p>
    <w:p w14:paraId="06CC90E5" w14:textId="77777777" w:rsidR="00AE7951" w:rsidRDefault="00AE7951">
      <w:pPr>
        <w:pStyle w:val="a9"/>
      </w:pPr>
    </w:p>
    <w:p w14:paraId="70DF67B2" w14:textId="77777777" w:rsidR="00AE7951" w:rsidRDefault="00000000">
      <w:pPr>
        <w:pStyle w:val="a9"/>
      </w:pPr>
      <w:r>
        <w:rPr>
          <w:rFonts w:ascii="Courier New" w:hAnsi="Courier New"/>
          <w:sz w:val="18"/>
        </w:rPr>
        <w:t xml:space="preserve">  Delay-discounting task. A computerized version of a hypothetical delay-discounting task described by Peper et al. (2013) was used, based on the paradigm explained by Richards et al. (1999). Subjects were asked to make a series of choices between either a small, immediately available amount of money or €10 available after a delay (i.e., "What would you rather have: €2 right away or €10 in 30 d?"). Discounting was assessed at 4 delays (2, 30, 180, and 365 d later). Trials with different delays were presented in a mixed fashion.</w:t>
      </w:r>
    </w:p>
    <w:p w14:paraId="459A14F2" w14:textId="77777777" w:rsidR="00AE7951" w:rsidRDefault="00000000">
      <w:pPr>
        <w:pStyle w:val="a9"/>
      </w:pPr>
      <w:r>
        <w:rPr>
          <w:rFonts w:ascii="Courier New" w:hAnsi="Courier New"/>
          <w:sz w:val="18"/>
        </w:rPr>
        <w:t xml:space="preserve">  Predictive analysis showed that frontostriatal WM development explained unique variance in current and future delay of gratification skills. This study adds to a descriptive relation between WM integrity and delay of gratification by showing that maturation of frontostriatal connectivity predicts changes in delay of gratification skills. These findings have implications for studies examining deviances in impulse control by showing that the developmental path between striatum and prefrontal cortex may be an important predictor for when development goes astray.</w:t>
      </w:r>
    </w:p>
    <w:p w14:paraId="4322565D" w14:textId="77777777" w:rsidR="00AE7951" w:rsidRDefault="00AE7951">
      <w:pPr>
        <w:pStyle w:val="a9"/>
      </w:pPr>
    </w:p>
    <w:p w14:paraId="17580E72" w14:textId="77777777" w:rsidR="00AE7951" w:rsidRDefault="00000000">
      <w:pPr>
        <w:pStyle w:val="a9"/>
      </w:pPr>
      <w:r>
        <w:rPr>
          <w:rFonts w:ascii="Courier New" w:hAnsi="Courier New"/>
          <w:sz w:val="18"/>
        </w:rPr>
        <w:t xml:space="preserve">  Key words: adolescence; development; impulsivity; longitudinal; white matter</w:t>
      </w:r>
    </w:p>
    <w:p w14:paraId="282EEB08" w14:textId="77777777" w:rsidR="00AE7951" w:rsidRDefault="00AE7951">
      <w:pPr>
        <w:pStyle w:val="a9"/>
      </w:pPr>
    </w:p>
    <w:p w14:paraId="2AFB4D8D" w14:textId="77777777" w:rsidR="00AE7951" w:rsidRDefault="00000000">
      <w:pPr>
        <w:pStyle w:val="a9"/>
      </w:pPr>
      <w:r>
        <w:rPr>
          <w:rFonts w:ascii="Courier New" w:hAnsi="Courier New"/>
          <w:sz w:val="18"/>
        </w:rPr>
        <w:t xml:space="preserve">  # Significance Statement</w:t>
      </w:r>
    </w:p>
    <w:p w14:paraId="05DAE42E" w14:textId="77777777" w:rsidR="00AE7951" w:rsidRDefault="00AE7951">
      <w:pPr>
        <w:pStyle w:val="a9"/>
      </w:pPr>
    </w:p>
    <w:p w14:paraId="397076E7" w14:textId="77777777" w:rsidR="00AE7951" w:rsidRDefault="00000000">
      <w:pPr>
        <w:pStyle w:val="a9"/>
      </w:pPr>
      <w:r>
        <w:rPr>
          <w:rFonts w:ascii="Courier New" w:hAnsi="Courier New"/>
          <w:sz w:val="18"/>
        </w:rPr>
        <w:t xml:space="preserve">  During the transition from childhood to adulthood, individuals generally show increased patience and become better in delaying gratification. The exact neural correlates of delay of gratification, however, remain poorly understood. By measuring both frontostriatal white matter (WM) integrity and delay of gratification skills at two time points, we were able to provide links for our understanding of the neural mechanisms underlying this type of impulse regulation capacity.</w:t>
      </w:r>
    </w:p>
    <w:p w14:paraId="2A8E4C9E" w14:textId="77777777" w:rsidR="00AE7951" w:rsidRDefault="00000000">
      <w:pPr>
        <w:pStyle w:val="a9"/>
      </w:pPr>
      <w:r>
        <w:rPr>
          <w:rFonts w:ascii="Courier New" w:hAnsi="Courier New"/>
          <w:sz w:val="18"/>
        </w:rPr>
        <w:t xml:space="preserve">  ized), age, FA, and MD at T1 as predictors for delay of gratification skills at T2. The results showed that, in addition to delay of gratification skills at T1 (β = 0.504, p &lt; 0.001), FA was a significant predictor (β = 0.158, p = 0.034) for delay of gratification skills at T2 (R² total model = 0.321, R² FA = 0.017; Fig. 4, Table 3). Age at T1 and MD did not significantly predict future discounting behavior. The same analyses were performed with nonlinear age changes (age² and age³).</w:t>
      </w:r>
    </w:p>
    <w:p w14:paraId="301E14ED" w14:textId="77777777" w:rsidR="00AE7951" w:rsidRDefault="00000000">
      <w:pPr>
        <w:pStyle w:val="a9"/>
      </w:pPr>
      <w:r>
        <w:rPr>
          <w:rFonts w:ascii="Courier New" w:hAnsi="Courier New"/>
          <w:sz w:val="18"/>
        </w:rPr>
        <w:t xml:space="preserve">  The same analyses were performed with nonlinear age changes (age² and age³). On top of delay of gratification skills and FA at T1, age² and age³ did not significantly predict future discounting behavior. Therefore, while accounting for behavioral performance at baseline, FA within the frontostriatal tract explains unique variance in future delay of gratification skills.</w:t>
      </w:r>
    </w:p>
    <w:p w14:paraId="0D15A589" w14:textId="77777777" w:rsidR="00AE7951" w:rsidRDefault="00AE7951">
      <w:pPr>
        <w:pStyle w:val="a9"/>
      </w:pPr>
    </w:p>
    <w:p w14:paraId="127C3FA8" w14:textId="77777777" w:rsidR="00AE7951" w:rsidRDefault="00000000">
      <w:pPr>
        <w:pStyle w:val="a9"/>
      </w:pPr>
      <w:r>
        <w:rPr>
          <w:rFonts w:ascii="Courier New" w:hAnsi="Courier New"/>
          <w:sz w:val="18"/>
        </w:rPr>
        <w:t xml:space="preserve">  We also investigated whether delay of gratification skills at T1 was predictive of frontostriatal WM integrity at T2. We entered FA at T2 as dependent variables and FA, age, and delay of gratification skills (AUC normalized) at T1 as predictor. The same</w:t>
      </w:r>
    </w:p>
    <w:p w14:paraId="43A2BD10" w14:textId="77777777" w:rsidR="00AE7951" w:rsidRDefault="00AE7951">
      <w:pPr>
        <w:pStyle w:val="a9"/>
      </w:pPr>
    </w:p>
    <w:p w14:paraId="553BEF05" w14:textId="77777777" w:rsidR="00AE7951" w:rsidRDefault="00000000">
      <w:pPr>
        <w:pStyle w:val="a9"/>
      </w:pPr>
      <w:r>
        <w:rPr>
          <w:rFonts w:ascii="Courier New" w:hAnsi="Courier New"/>
          <w:sz w:val="18"/>
        </w:rPr>
        <w:lastRenderedPageBreak/>
        <w:t xml:space="preserve">  Achterberg, Peper et al. Frontostriatal White Matter and Delay of Gratification</w:t>
      </w:r>
    </w:p>
    <w:p w14:paraId="774D7558" w14:textId="77777777" w:rsidR="00AE7951" w:rsidRDefault="00AE7951">
      <w:pPr>
        <w:pStyle w:val="a9"/>
      </w:pPr>
    </w:p>
    <w:p w14:paraId="719BABB3" w14:textId="77777777" w:rsidR="00AE7951" w:rsidRDefault="00000000">
      <w:pPr>
        <w:pStyle w:val="a9"/>
      </w:pPr>
      <w:r>
        <w:rPr>
          <w:rFonts w:ascii="Courier New" w:hAnsi="Courier New"/>
          <w:sz w:val="18"/>
        </w:rPr>
        <w:t xml:space="preserve">  J. Neurosci., February 10, 2016 · 36(6):1954-1961 · 1959</w:t>
      </w:r>
    </w:p>
    <w:p w14:paraId="7C16E03E" w14:textId="77777777" w:rsidR="00AE7951" w:rsidRDefault="00AE7951">
      <w:pPr>
        <w:pStyle w:val="a9"/>
      </w:pPr>
    </w:p>
    <w:p w14:paraId="14A5B239" w14:textId="77777777" w:rsidR="00AE7951" w:rsidRDefault="00000000">
      <w:pPr>
        <w:pStyle w:val="a9"/>
      </w:pPr>
      <w:r>
        <w:rPr>
          <w:rFonts w:ascii="Courier New" w:hAnsi="Courier New"/>
          <w:sz w:val="18"/>
        </w:rPr>
        <w:t xml:space="preserve">  Table 3.</w:t>
      </w:r>
    </w:p>
    <w:p w14:paraId="33B2E663" w14:textId="77777777" w:rsidR="00AE7951" w:rsidRDefault="00000000">
      <w:pPr>
        <w:pStyle w:val="a9"/>
      </w:pPr>
      <w:r>
        <w:rPr>
          <w:rFonts w:ascii="Courier New" w:hAnsi="Courier New"/>
          <w:sz w:val="18"/>
        </w:rPr>
        <w:t xml:space="preserve">  [img-8.jpeg]</w:t>
      </w:r>
    </w:p>
    <w:p w14:paraId="713D27D9" w14:textId="77777777" w:rsidR="00AE7951" w:rsidRDefault="00000000">
      <w:pPr>
        <w:pStyle w:val="a9"/>
      </w:pPr>
      <w:r>
        <w:rPr>
          <w:rFonts w:ascii="Courier New" w:hAnsi="Courier New"/>
          <w:sz w:val="18"/>
        </w:rPr>
        <w:t xml:space="preserve">  Figure 4. Delay of gratification skills (AUC normalized) at T2 was predicted by delay of gratification skills (AUC normalized) at T1 and FA of the frontostriatal tract at T1. The y-axis displays the unstandardized predictive value of the regression model with AUC (normalized), age, FA of the frontostriatal tract, and MD of the frontostriatal tract at T1 as predictors.</w:t>
      </w:r>
    </w:p>
    <w:p w14:paraId="522E9F66" w14:textId="77777777" w:rsidR="00AE7951" w:rsidRDefault="00AE7951">
      <w:pPr>
        <w:pStyle w:val="a9"/>
      </w:pPr>
    </w:p>
    <w:p w14:paraId="61A5F7BA" w14:textId="77777777" w:rsidR="00AE7951" w:rsidRDefault="00000000">
      <w:pPr>
        <w:pStyle w:val="a9"/>
      </w:pPr>
      <w:r>
        <w:rPr>
          <w:rFonts w:ascii="Courier New" w:hAnsi="Courier New"/>
          <w:sz w:val="18"/>
        </w:rPr>
        <w:t xml:space="preserve">  ized), age, FA, and MD at T1 as predictors for delay of gratification skills at T2.</w:t>
      </w:r>
    </w:p>
    <w:p w14:paraId="371D7516" w14:textId="77777777" w:rsidR="00AE7951" w:rsidRDefault="00AE7951"/>
    <w:p w14:paraId="002190A8" w14:textId="77777777" w:rsidR="00AE7951" w:rsidRDefault="00000000">
      <w:r>
        <w:rPr>
          <w:b/>
          <w:color w:val="1F497D"/>
        </w:rPr>
        <w:t>── Step 4 · LLM Response ──────────────────────────────────────</w:t>
      </w:r>
    </w:p>
    <w:p w14:paraId="22B73155" w14:textId="77777777" w:rsidR="00AE7951" w:rsidRDefault="00000000">
      <w:r>
        <w:rPr>
          <w:b/>
          <w:i/>
          <w:color w:val="606060"/>
        </w:rPr>
        <w:t xml:space="preserve">[Explanation] </w:t>
      </w:r>
      <w:r>
        <w:rPr>
          <w:i/>
          <w:color w:val="606060"/>
        </w:rPr>
        <w:t>The model's extracted answer: all delay lengths listed and converted to days according to the query prompt rules.</w:t>
      </w:r>
    </w:p>
    <w:p w14:paraId="68EC5B7A" w14:textId="77777777" w:rsidR="00AE7951" w:rsidRDefault="00000000">
      <w:pPr>
        <w:pStyle w:val="a9"/>
      </w:pPr>
      <w:r>
        <w:rPr>
          <w:rFonts w:ascii="Courier New" w:hAnsi="Courier New"/>
          <w:sz w:val="18"/>
        </w:rPr>
        <w:t xml:space="preserve">  1. The delay lengths for the larger–later reward in the delay discounting task are 2 days, 30 days, 180 days, and 365 days.</w:t>
      </w:r>
    </w:p>
    <w:p w14:paraId="4E7E3821" w14:textId="77777777" w:rsidR="00AE7951" w:rsidRDefault="00000000">
      <w:pPr>
        <w:pStyle w:val="a9"/>
      </w:pPr>
      <w:r>
        <w:rPr>
          <w:rFonts w:ascii="Courier New" w:hAnsi="Courier New"/>
          <w:sz w:val="18"/>
        </w:rPr>
        <w:t xml:space="preserve">  2. The delay lengths are already provided in days: 2 days, 30 days, 180 days, and 365 days.</w:t>
      </w:r>
    </w:p>
    <w:p w14:paraId="5B3C178A" w14:textId="77777777" w:rsidR="00AE7951" w:rsidRDefault="00AE7951"/>
    <w:p w14:paraId="2B5FE2E6" w14:textId="77777777" w:rsidR="00AE7951" w:rsidRDefault="00000000">
      <w:r>
        <w:rPr>
          <w:b/>
          <w:color w:val="1F497D"/>
        </w:rPr>
        <w:t>── Step 5 · Evaluator Feedback ────────────────────────────────</w:t>
      </w:r>
    </w:p>
    <w:p w14:paraId="18905C43" w14:textId="77777777" w:rsidR="00AE7951" w:rsidRDefault="00000000">
      <w:r>
        <w:rPr>
          <w:b/>
          <w:i/>
          <w:color w:val="606060"/>
        </w:rPr>
        <w:t xml:space="preserve">[Explanation] </w:t>
      </w:r>
      <w:r>
        <w:rPr>
          <w:i/>
          <w:color w:val="606060"/>
        </w:rPr>
        <w:t>Verdict from the ContextAwareGuidelineEvaluator. If the response is incomplete or mis-formatted, the feedback text is used to refine the retrieval query and trigger another attempt (up to max_retries). A passing result ends the refinement loop.</w:t>
      </w:r>
    </w:p>
    <w:p w14:paraId="75302D7C" w14:textId="77777777" w:rsidR="00AE7951" w:rsidRDefault="00000000">
      <w:pPr>
        <w:pStyle w:val="a9"/>
      </w:pPr>
      <w:r>
        <w:rPr>
          <w:rFonts w:ascii="Courier New" w:hAnsi="Courier New"/>
          <w:sz w:val="18"/>
        </w:rPr>
        <w:t xml:space="preserve">  Feedback : All conditions met.</w:t>
      </w:r>
    </w:p>
    <w:p w14:paraId="544DE242" w14:textId="77777777" w:rsidR="00AE7951" w:rsidRDefault="00000000">
      <w:pPr>
        <w:pStyle w:val="a9"/>
      </w:pPr>
      <w:r>
        <w:rPr>
          <w:rFonts w:ascii="Courier New" w:hAnsi="Courier New"/>
          <w:sz w:val="18"/>
        </w:rPr>
        <w:t xml:space="preserve">  Passing  : True  ✓</w:t>
      </w:r>
    </w:p>
    <w:p w14:paraId="4AEDF3B0" w14:textId="77777777" w:rsidR="00AE7951" w:rsidRDefault="00AE7951"/>
    <w:sectPr w:rsidR="00AE795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5A95" w14:textId="77777777" w:rsidR="00F55351" w:rsidRDefault="00F55351" w:rsidP="00AA1B28">
      <w:pPr>
        <w:spacing w:after="0" w:line="240" w:lineRule="auto"/>
      </w:pPr>
      <w:r>
        <w:separator/>
      </w:r>
    </w:p>
  </w:endnote>
  <w:endnote w:type="continuationSeparator" w:id="0">
    <w:p w14:paraId="36A1E6EA" w14:textId="77777777" w:rsidR="00F55351" w:rsidRDefault="00F55351" w:rsidP="00AA1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929B" w14:textId="77777777" w:rsidR="00F55351" w:rsidRDefault="00F55351" w:rsidP="00AA1B28">
      <w:pPr>
        <w:spacing w:after="0" w:line="240" w:lineRule="auto"/>
      </w:pPr>
      <w:r>
        <w:separator/>
      </w:r>
    </w:p>
  </w:footnote>
  <w:footnote w:type="continuationSeparator" w:id="0">
    <w:p w14:paraId="3FC6ED0B" w14:textId="77777777" w:rsidR="00F55351" w:rsidRDefault="00F55351" w:rsidP="00AA1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2675649">
    <w:abstractNumId w:val="8"/>
  </w:num>
  <w:num w:numId="2" w16cid:durableId="1004361139">
    <w:abstractNumId w:val="6"/>
  </w:num>
  <w:num w:numId="3" w16cid:durableId="1348368249">
    <w:abstractNumId w:val="5"/>
  </w:num>
  <w:num w:numId="4" w16cid:durableId="1722943740">
    <w:abstractNumId w:val="4"/>
  </w:num>
  <w:num w:numId="5" w16cid:durableId="1821312100">
    <w:abstractNumId w:val="7"/>
  </w:num>
  <w:num w:numId="6" w16cid:durableId="584341838">
    <w:abstractNumId w:val="3"/>
  </w:num>
  <w:num w:numId="7" w16cid:durableId="1309094061">
    <w:abstractNumId w:val="2"/>
  </w:num>
  <w:num w:numId="8" w16cid:durableId="723404628">
    <w:abstractNumId w:val="1"/>
  </w:num>
  <w:num w:numId="9" w16cid:durableId="181652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B28"/>
    <w:rsid w:val="00AA1D8D"/>
    <w:rsid w:val="00AE7951"/>
    <w:rsid w:val="00B47730"/>
    <w:rsid w:val="00CB0664"/>
    <w:rsid w:val="00E71CD4"/>
    <w:rsid w:val="00F55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1681C7B8-E30B-46A2-8973-B731AFCB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1043</Words>
  <Characters>5690</Characters>
  <Application>Microsoft Office Word</Application>
  <DocSecurity>0</DocSecurity>
  <Lines>135</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Junsong</cp:lastModifiedBy>
  <cp:revision>2</cp:revision>
  <dcterms:created xsi:type="dcterms:W3CDTF">2013-12-23T23:15:00Z</dcterms:created>
  <dcterms:modified xsi:type="dcterms:W3CDTF">2026-03-04T17:44:00Z</dcterms:modified>
  <cp:category/>
</cp:coreProperties>
</file>