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Holdout-2 Eligibility Plan</w:t>
      </w:r>
    </w:p>
    <w:p>
      <w:pPr>
        <w:jc w:val="center"/>
      </w:pPr>
      <w:r>
        <w:rPr>
          <w:rFonts w:ascii="Arial" w:hAnsi="Arial"/>
          <w:b/>
          <w:sz w:val="22"/>
        </w:rPr>
        <w:t>Pre-output selection and analysis rules for the new historical transfer test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D9EAF7"/>
            <w:vAlign w:val="center"/>
            <w:tcMar>
              <w:top w:w="80" w:type="dxa"/>
              <w:start w:w="90" w:type="dxa"/>
              <w:bottom w:w="80" w:type="dxa"/>
              <w:end w:w="90" w:type="dxa"/>
            </w:tcMar>
          </w:tcPr>
          <w:p>
            <w:r>
              <w:rPr>
                <w:sz w:val="18"/>
              </w:rPr>
              <w:t>Field</w:t>
            </w:r>
          </w:p>
        </w:tc>
        <w:tc>
          <w:tcPr>
            <w:tcW w:type="dxa" w:w="5083"/>
            <w:shd w:fill="D9EAF7"/>
            <w:vAlign w:val="center"/>
            <w:tcMar>
              <w:top w:w="80" w:type="dxa"/>
              <w:start w:w="90" w:type="dxa"/>
              <w:bottom w:w="80" w:type="dxa"/>
              <w:end w:w="90" w:type="dxa"/>
            </w:tcMar>
          </w:tcPr>
          <w:p>
            <w:r>
              <w:rPr>
                <w:sz w:val="18"/>
              </w:rPr>
              <w:t>Specification</w:t>
            </w:r>
          </w:p>
        </w:tc>
      </w:tr>
      <w:tr>
        <w:trPr>
          <w:cantSplit/>
        </w:trPr>
        <w:tc>
          <w:tcPr>
            <w:tcW w:type="dxa" w:w="5083"/>
            <w:tcMar>
              <w:top w:w="80" w:type="dxa"/>
              <w:start w:w="90" w:type="dxa"/>
              <w:bottom w:w="80" w:type="dxa"/>
              <w:end w:w="90" w:type="dxa"/>
            </w:tcMar>
          </w:tcPr>
          <w:p>
            <w:r>
              <w:rPr>
                <w:b/>
                <w:sz w:val="18"/>
              </w:rPr>
              <w:t>Status</w:t>
            </w:r>
          </w:p>
        </w:tc>
        <w:tc>
          <w:tcPr>
            <w:tcW w:type="dxa" w:w="5083"/>
            <w:tcMar>
              <w:top w:w="80" w:type="dxa"/>
              <w:start w:w="90" w:type="dxa"/>
              <w:bottom w:w="80" w:type="dxa"/>
              <w:end w:w="90" w:type="dxa"/>
            </w:tcMar>
          </w:tcPr>
          <w:p>
            <w:r>
              <w:t>FINAL PRE-OUTPUT — methodological review incorporated; candidate metadata and eligibility checks may be completed after commit, but framework scores must not be computed before event selection and event-specific configuration are frozen</w:t>
            </w:r>
          </w:p>
        </w:tc>
      </w:tr>
      <w:tr>
        <w:trPr>
          <w:cantSplit/>
        </w:trPr>
        <w:tc>
          <w:tcPr>
            <w:tcW w:type="dxa" w:w="5083"/>
            <w:tcMar>
              <w:top w:w="80" w:type="dxa"/>
              <w:start w:w="90" w:type="dxa"/>
              <w:bottom w:w="80" w:type="dxa"/>
              <w:end w:w="90" w:type="dxa"/>
            </w:tcMar>
          </w:tcPr>
          <w:p>
            <w:r>
              <w:rPr>
                <w:b/>
                <w:sz w:val="18"/>
              </w:rPr>
              <w:t>Date</w:t>
            </w:r>
          </w:p>
        </w:tc>
        <w:tc>
          <w:tcPr>
            <w:tcW w:type="dxa" w:w="5083"/>
            <w:tcMar>
              <w:top w:w="80" w:type="dxa"/>
              <w:start w:w="90" w:type="dxa"/>
              <w:bottom w:w="80" w:type="dxa"/>
              <w:end w:w="90" w:type="dxa"/>
            </w:tcMar>
          </w:tcPr>
          <w:p>
            <w:r>
              <w:rPr>
                <w:sz w:val="18"/>
              </w:rPr>
              <w:t>1 October 2026</w:t>
            </w:r>
          </w:p>
        </w:tc>
      </w:tr>
      <w:tr>
        <w:trPr>
          <w:cantSplit/>
        </w:trPr>
        <w:tc>
          <w:tcPr>
            <w:tcW w:type="dxa" w:w="5083"/>
            <w:tcMar>
              <w:top w:w="80" w:type="dxa"/>
              <w:start w:w="90" w:type="dxa"/>
              <w:bottom w:w="80" w:type="dxa"/>
              <w:end w:w="90" w:type="dxa"/>
            </w:tcMar>
          </w:tcPr>
          <w:p>
            <w:r>
              <w:rPr>
                <w:b/>
                <w:sz w:val="18"/>
              </w:rPr>
              <w:t>Parent protocol</w:t>
            </w:r>
          </w:p>
        </w:tc>
        <w:tc>
          <w:tcPr>
            <w:tcW w:type="dxa" w:w="5083"/>
            <w:tcMar>
              <w:top w:w="80" w:type="dxa"/>
              <w:start w:w="90" w:type="dxa"/>
              <w:bottom w:w="80" w:type="dxa"/>
              <w:end w:w="90" w:type="dxa"/>
            </w:tcMar>
          </w:tcPr>
          <w:p>
            <w:r>
              <w:rPr>
                <w:sz w:val="18"/>
              </w:rPr>
              <w:t>Protocol v2 — Final Pre-Freeze Evaluation Plan</w:t>
            </w:r>
          </w:p>
        </w:tc>
      </w:tr>
      <w:tr>
        <w:trPr>
          <w:cantSplit/>
        </w:trPr>
        <w:tc>
          <w:tcPr>
            <w:tcW w:type="dxa" w:w="5083"/>
            <w:tcMar>
              <w:top w:w="80" w:type="dxa"/>
              <w:start w:w="90" w:type="dxa"/>
              <w:bottom w:w="80" w:type="dxa"/>
              <w:end w:w="90" w:type="dxa"/>
            </w:tcMar>
          </w:tcPr>
          <w:p>
            <w:r>
              <w:rPr>
                <w:b/>
                <w:sz w:val="18"/>
              </w:rPr>
              <w:t>Selection seed</w:t>
            </w:r>
          </w:p>
        </w:tc>
        <w:tc>
          <w:tcPr>
            <w:tcW w:type="dxa" w:w="5083"/>
            <w:tcMar>
              <w:top w:w="80" w:type="dxa"/>
              <w:start w:w="90" w:type="dxa"/>
              <w:bottom w:w="80" w:type="dxa"/>
              <w:end w:w="90" w:type="dxa"/>
            </w:tcMar>
          </w:tcPr>
          <w:p>
            <w:r>
              <w:rPr>
                <w:sz w:val="18"/>
              </w:rPr>
              <w:t>731006</w:t>
            </w:r>
          </w:p>
        </w:tc>
      </w:tr>
      <w:tr>
        <w:trPr>
          <w:cantSplit/>
        </w:trPr>
        <w:tc>
          <w:tcPr>
            <w:tcW w:type="dxa" w:w="5083"/>
            <w:tcMar>
              <w:top w:w="80" w:type="dxa"/>
              <w:start w:w="90" w:type="dxa"/>
              <w:bottom w:w="80" w:type="dxa"/>
              <w:end w:w="90" w:type="dxa"/>
            </w:tcMar>
          </w:tcPr>
          <w:p>
            <w:r>
              <w:rPr>
                <w:b/>
                <w:sz w:val="18"/>
              </w:rPr>
              <w:t>Preferred domain template</w:t>
            </w:r>
          </w:p>
        </w:tc>
        <w:tc>
          <w:tcPr>
            <w:tcW w:type="dxa" w:w="5083"/>
            <w:tcMar>
              <w:top w:w="80" w:type="dxa"/>
              <w:start w:w="90" w:type="dxa"/>
              <w:bottom w:w="80" w:type="dxa"/>
              <w:end w:w="90" w:type="dxa"/>
            </w:tcMar>
          </w:tcPr>
          <w:p>
            <w:r>
              <w:t>Japan-region earthquake / physical-disaster template derived from the Fukushima channel definitions, with prespecified JST temporal indexing for Holdout 2</w:t>
            </w:r>
          </w:p>
        </w:tc>
      </w:tr>
      <w:tr>
        <w:trPr>
          <w:cantSplit/>
        </w:trPr>
        <w:tc>
          <w:tcPr>
            <w:tcW w:type="dxa" w:w="5083"/>
            <w:tcMar>
              <w:top w:w="80" w:type="dxa"/>
              <w:start w:w="90" w:type="dxa"/>
              <w:bottom w:w="80" w:type="dxa"/>
              <w:end w:w="90" w:type="dxa"/>
            </w:tcMar>
          </w:tcPr>
          <w:p>
            <w:r>
              <w:rPr>
                <w:b/>
                <w:sz w:val="18"/>
              </w:rPr>
              <w:t>Purpose</w:t>
            </w:r>
          </w:p>
        </w:tc>
        <w:tc>
          <w:tcPr>
            <w:tcW w:type="dxa" w:w="5083"/>
            <w:tcMar>
              <w:top w:w="80" w:type="dxa"/>
              <w:start w:w="90" w:type="dxa"/>
              <w:bottom w:w="80" w:type="dxa"/>
              <w:end w:w="90" w:type="dxa"/>
            </w:tcMar>
          </w:tcPr>
          <w:p>
            <w:r>
              <w:t>Add one output-blind, randomly selected historical holdout within a development-informed physical-disaster template, without result-driven event nomination or post-output retuning.</w:t>
            </w:r>
          </w:p>
        </w:tc>
      </w:tr>
    </w:tbl>
    <w:p>
      <w:pPr>
        <w:pStyle w:val="Heading1"/>
      </w:pPr>
      <w:r>
        <w:t>1. Principle</w:t>
      </w:r>
    </w:p>
    <w:p>
      <w:r>
        <w:t>Holdout 2 is not intended to find an event on which the product performs well. It tests whether a simple physical-disaster template derived from the prior Fukushima development case can be transferred to one previously unanalyzed historical event selected under an auditable, output-blind rule. The random draw protects event nomination from result-driven choice; it does not make the inherited template statistically independent of prior development. Candidate enumeration, eligibility assessment, and the random event draw use only event metadata, source availability, and frozen alignment criteria. No stress score, operator contrast, permutation statistic, or other framework output may be used to define eligibility or select the event.</w:t>
      </w:r>
    </w:p>
    <w:p>
      <w:pPr>
        <w:pStyle w:val="Heading1"/>
      </w:pPr>
      <w:r>
        <w:t>2. Frozen domain template</w:t>
      </w:r>
    </w:p>
    <w:p>
      <w:r>
        <w:t>The preferred template is derived from the existing Fukushima physical-disaster construction. The substantive channel definitions, geographic query geometry, magnitude threshold, and energy transformation are transferred without fitted weights or outcome-dependent proxy replacement. Holdout 2 adds one prespecified temporal-indexing correction: USGS event timestamps are converted from UTC to Asia/Tokyo (JST) before daily aggregation and event-date definition. This correction applies only to Holdout 2 and does not retroactively alter the archived Fukushima development analysis.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952"/>
            <w:shd w:fill="D9EAF7"/>
            <w:vAlign w:val="center"/>
            <w:tcMar>
              <w:top w:w="70" w:type="dxa"/>
              <w:start w:w="80" w:type="dxa"/>
              <w:bottom w:w="70" w:type="dxa"/>
              <w:end w:w="80" w:type="dxa"/>
            </w:tcMar>
          </w:tcPr>
          <w:p>
            <w:pPr>
              <w:spacing w:after="0"/>
            </w:pPr>
            <w:r>
              <w:rPr>
                <w:rFonts w:ascii="Arial" w:hAnsi="Arial"/>
                <w:b/>
                <w:sz w:val="17"/>
              </w:rPr>
              <w:t>Channel</w:t>
            </w:r>
          </w:p>
        </w:tc>
        <w:tc>
          <w:tcPr>
            <w:tcW w:type="dxa" w:w="7128"/>
            <w:shd w:fill="D9EAF7"/>
            <w:vAlign w:val="center"/>
            <w:tcMar>
              <w:top w:w="70" w:type="dxa"/>
              <w:start w:w="80" w:type="dxa"/>
              <w:bottom w:w="70" w:type="dxa"/>
              <w:end w:w="80" w:type="dxa"/>
            </w:tcMar>
          </w:tcPr>
          <w:p>
            <w:pPr>
              <w:spacing w:after="0"/>
            </w:pPr>
            <w:r>
              <w:rPr>
                <w:rFonts w:ascii="Arial" w:hAnsi="Arial"/>
                <w:b/>
                <w:sz w:val="17"/>
              </w:rPr>
              <w:t>Frozen construction</w:t>
            </w:r>
          </w:p>
        </w:tc>
      </w:tr>
      <w:tr>
        <w:trPr>
          <w:cantSplit/>
        </w:trPr>
        <w:tc>
          <w:tcPr>
            <w:tcW w:type="dxa" w:w="2952"/>
            <w:vAlign w:val="center"/>
            <w:tcMar>
              <w:top w:w="70" w:type="dxa"/>
              <w:start w:w="80" w:type="dxa"/>
              <w:bottom w:w="70" w:type="dxa"/>
              <w:end w:w="80" w:type="dxa"/>
            </w:tcMar>
          </w:tcPr>
          <w:p>
            <w:pPr>
              <w:spacing w:after="0"/>
            </w:pPr>
            <w:r>
              <w:rPr>
                <w:rFonts w:ascii="Times New Roman" w:hAnsi="Times New Roman"/>
                <w:sz w:val="17"/>
              </w:rPr>
              <w:t>x₁ — physical seismic load</w:t>
            </w:r>
          </w:p>
        </w:tc>
        <w:tc>
          <w:tcPr>
            <w:tcW w:type="dxa" w:w="7128"/>
            <w:vAlign w:val="center"/>
            <w:tcMar>
              <w:top w:w="70" w:type="dxa"/>
              <w:start w:w="80" w:type="dxa"/>
              <w:bottom w:w="70" w:type="dxa"/>
              <w:end w:w="80" w:type="dxa"/>
            </w:tcMar>
          </w:tcPr>
          <w:p>
            <w:r>
              <w:t>Reuse the archived Fukushima USGS Japan-region query geometry and magnitude ≥2.0 event retrieval. Convert USGS origin timestamps from UTC to Asia/Tokyo (JST) before assigning events to calendar dates. Construct a complete JST daily calendar; no-event days contribute 0. For positive-event days convert magnitude M to energy E = 10^(1.5M + 4.8), sum daily energy, then take log10 of the positive daily sum.</w:t>
            </w:r>
          </w:p>
        </w:tc>
      </w:tr>
      <w:tr>
        <w:trPr>
          <w:cantSplit/>
        </w:trPr>
        <w:tc>
          <w:tcPr>
            <w:tcW w:type="dxa" w:w="2952"/>
            <w:vAlign w:val="center"/>
            <w:tcMar>
              <w:top w:w="70" w:type="dxa"/>
              <w:start w:w="80" w:type="dxa"/>
              <w:bottom w:w="70" w:type="dxa"/>
              <w:end w:w="80" w:type="dxa"/>
            </w:tcMar>
          </w:tcPr>
          <w:p>
            <w:pPr>
              <w:spacing w:after="0"/>
            </w:pPr>
            <w:r>
              <w:rPr>
                <w:rFonts w:ascii="Times New Roman" w:hAnsi="Times New Roman"/>
                <w:sz w:val="17"/>
              </w:rPr>
              <w:t>x₂ — Japanese equity volatility</w:t>
            </w:r>
          </w:p>
        </w:tc>
        <w:tc>
          <w:tcPr>
            <w:tcW w:type="dxa" w:w="7128"/>
            <w:vAlign w:val="center"/>
            <w:tcMar>
              <w:top w:w="70" w:type="dxa"/>
              <w:start w:w="80" w:type="dxa"/>
              <w:bottom w:w="70" w:type="dxa"/>
              <w:end w:w="80" w:type="dxa"/>
            </w:tcMar>
          </w:tcPr>
          <w:p>
            <w:pPr>
              <w:spacing w:after="0"/>
            </w:pPr>
            <w:r>
              <w:rPr>
                <w:rFonts w:ascii="Times New Roman" w:hAnsi="Times New Roman"/>
                <w:sz w:val="17"/>
              </w:rPr>
              <w:t>Yahoo Finance ^N225 close; daily percentage return; 5-observation rolling standard deviation annualized by √252.</w:t>
            </w:r>
          </w:p>
        </w:tc>
      </w:tr>
      <w:tr>
        <w:trPr>
          <w:cantSplit/>
        </w:trPr>
        <w:tc>
          <w:tcPr>
            <w:tcW w:type="dxa" w:w="2952"/>
            <w:vAlign w:val="center"/>
            <w:tcMar>
              <w:top w:w="70" w:type="dxa"/>
              <w:start w:w="80" w:type="dxa"/>
              <w:bottom w:w="70" w:type="dxa"/>
              <w:end w:w="80" w:type="dxa"/>
            </w:tcMar>
          </w:tcPr>
          <w:p>
            <w:pPr>
              <w:spacing w:after="0"/>
            </w:pPr>
            <w:r>
              <w:rPr>
                <w:rFonts w:ascii="Times New Roman" w:hAnsi="Times New Roman"/>
                <w:sz w:val="17"/>
              </w:rPr>
              <w:t>x₃ — foreign-exchange stress</w:t>
            </w:r>
          </w:p>
        </w:tc>
        <w:tc>
          <w:tcPr>
            <w:tcW w:type="dxa" w:w="7128"/>
            <w:vAlign w:val="center"/>
            <w:tcMar>
              <w:top w:w="70" w:type="dxa"/>
              <w:start w:w="80" w:type="dxa"/>
              <w:bottom w:w="70" w:type="dxa"/>
              <w:end w:w="80" w:type="dxa"/>
            </w:tcMar>
          </w:tcPr>
          <w:p>
            <w:pPr>
              <w:spacing w:after="0"/>
            </w:pPr>
            <w:r>
              <w:rPr>
                <w:rFonts w:ascii="Times New Roman" w:hAnsi="Times New Roman"/>
                <w:sz w:val="17"/>
              </w:rPr>
              <w:t>Yahoo Finance JPY=X close; absolute daily percentage change.</w:t>
            </w:r>
          </w:p>
        </w:tc>
      </w:tr>
    </w:tbl>
    <w:p>
      <w:r>
        <w:t>The archived Fukushima source fixes the Japan-region geometry at latitude 30–46°N and longitude 128–146°E, with MIN_MAG = 2.0 for the seismic-load channel. These constants were verified against Cases/case3_fukushima.py at archived commit df0f0ca58bcfdd6582ef52c936ad7a8ac68b9937 (Git blob f2e4aa81a1d5ea6610fe428306d3858668a27c5c). They are copied verbatim into the Holdout-2 machine-readable query configuration and may not be widened or narrowed after candidate enumeration. The JST conversion rule, conservative 15:00 JST same-day alignment cutoff, and Fukushima-window non-overlap rule are also fixed before candidate enumeration.</w:t>
      </w:r>
    </w:p>
    <w:p>
      <w:pPr>
        <w:pStyle w:val="Heading1"/>
      </w:pPr>
      <w:r>
        <w:t>3. Candidate universe</w:t>
      </w:r>
    </w:p>
    <w:p>
      <w:r>
        <w:t>The candidate universe is generated from the USGS FDSN Event API using only event metadata and the same archived Japan-region geographic bounds used by the Fukushima channel construction. The query is frozen as follows: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96"/>
            <w:shd w:fill="D9EAF7"/>
            <w:vAlign w:val="center"/>
            <w:tcMar>
              <w:top w:w="70" w:type="dxa"/>
              <w:start w:w="80" w:type="dxa"/>
              <w:bottom w:w="70" w:type="dxa"/>
              <w:end w:w="80" w:type="dxa"/>
            </w:tcMar>
          </w:tcPr>
          <w:p>
            <w:pPr>
              <w:spacing w:after="0"/>
            </w:pPr>
            <w:r>
              <w:rPr>
                <w:rFonts w:ascii="Arial" w:hAnsi="Arial"/>
                <w:b/>
                <w:sz w:val="17"/>
              </w:rPr>
              <w:t>Field</w:t>
            </w:r>
          </w:p>
        </w:tc>
        <w:tc>
          <w:tcPr>
            <w:tcW w:type="dxa" w:w="6984"/>
            <w:shd w:fill="D9EAF7"/>
            <w:vAlign w:val="center"/>
            <w:tcMar>
              <w:top w:w="70" w:type="dxa"/>
              <w:start w:w="80" w:type="dxa"/>
              <w:bottom w:w="70" w:type="dxa"/>
              <w:end w:w="80" w:type="dxa"/>
            </w:tcMar>
          </w:tcPr>
          <w:p>
            <w:pPr>
              <w:spacing w:after="0"/>
            </w:pPr>
            <w:r>
              <w:rPr>
                <w:rFonts w:ascii="Arial" w:hAnsi="Arial"/>
                <w:b/>
                <w:sz w:val="17"/>
              </w:rPr>
              <w:t>Rule</w:t>
            </w:r>
          </w:p>
        </w:tc>
      </w:tr>
      <w:tr>
        <w:trPr>
          <w:cantSplit/>
        </w:trPr>
        <w:tc>
          <w:tcPr>
            <w:tcW w:type="dxa" w:w="3096"/>
            <w:vAlign w:val="center"/>
            <w:tcMar>
              <w:top w:w="70" w:type="dxa"/>
              <w:start w:w="80" w:type="dxa"/>
              <w:bottom w:w="70" w:type="dxa"/>
              <w:end w:w="80" w:type="dxa"/>
            </w:tcMar>
          </w:tcPr>
          <w:p>
            <w:pPr>
              <w:spacing w:after="0"/>
            </w:pPr>
            <w:r>
              <w:rPr>
                <w:rFonts w:ascii="Times New Roman" w:hAnsi="Times New Roman"/>
                <w:sz w:val="17"/>
              </w:rPr>
              <w:t>Catalog / endpoint</w:t>
            </w:r>
          </w:p>
        </w:tc>
        <w:tc>
          <w:tcPr>
            <w:tcW w:type="dxa" w:w="6984"/>
            <w:vAlign w:val="center"/>
            <w:tcMar>
              <w:top w:w="70" w:type="dxa"/>
              <w:start w:w="80" w:type="dxa"/>
              <w:bottom w:w="70" w:type="dxa"/>
              <w:end w:w="80" w:type="dxa"/>
            </w:tcMar>
          </w:tcPr>
          <w:p>
            <w:pPr>
              <w:spacing w:after="0"/>
            </w:pPr>
            <w:r>
              <w:rPr>
                <w:rFonts w:ascii="Times New Roman" w:hAnsi="Times New Roman"/>
                <w:sz w:val="17"/>
              </w:rPr>
              <w:t>USGS FDSN Event API</w:t>
            </w:r>
          </w:p>
        </w:tc>
      </w:tr>
      <w:tr>
        <w:trPr>
          <w:cantSplit/>
        </w:trPr>
        <w:tc>
          <w:tcPr>
            <w:tcW w:type="dxa" w:w="3096"/>
            <w:vAlign w:val="center"/>
            <w:tcMar>
              <w:top w:w="70" w:type="dxa"/>
              <w:start w:w="80" w:type="dxa"/>
              <w:bottom w:w="70" w:type="dxa"/>
              <w:end w:w="80" w:type="dxa"/>
            </w:tcMar>
          </w:tcPr>
          <w:p>
            <w:pPr>
              <w:spacing w:after="0"/>
            </w:pPr>
            <w:r>
              <w:rPr>
                <w:rFonts w:ascii="Times New Roman" w:hAnsi="Times New Roman"/>
                <w:sz w:val="17"/>
              </w:rPr>
              <w:t>Event type</w:t>
            </w:r>
          </w:p>
        </w:tc>
        <w:tc>
          <w:tcPr>
            <w:tcW w:type="dxa" w:w="6984"/>
            <w:vAlign w:val="center"/>
            <w:tcMar>
              <w:top w:w="70" w:type="dxa"/>
              <w:start w:w="80" w:type="dxa"/>
              <w:bottom w:w="70" w:type="dxa"/>
              <w:end w:w="80" w:type="dxa"/>
            </w:tcMar>
          </w:tcPr>
          <w:p>
            <w:pPr>
              <w:spacing w:after="0"/>
            </w:pPr>
            <w:r>
              <w:rPr>
                <w:rFonts w:ascii="Times New Roman" w:hAnsi="Times New Roman"/>
                <w:sz w:val="17"/>
              </w:rPr>
              <w:t>earthquake</w:t>
            </w:r>
          </w:p>
        </w:tc>
      </w:tr>
      <w:tr>
        <w:trPr>
          <w:cantSplit/>
        </w:trPr>
        <w:tc>
          <w:tcPr>
            <w:tcW w:type="dxa" w:w="3096"/>
            <w:vAlign w:val="center"/>
            <w:tcMar>
              <w:top w:w="70" w:type="dxa"/>
              <w:start w:w="80" w:type="dxa"/>
              <w:bottom w:w="70" w:type="dxa"/>
              <w:end w:w="80" w:type="dxa"/>
            </w:tcMar>
          </w:tcPr>
          <w:p>
            <w:pPr>
              <w:spacing w:after="0"/>
            </w:pPr>
            <w:r>
              <w:rPr>
                <w:rFonts w:ascii="Times New Roman" w:hAnsi="Times New Roman"/>
                <w:sz w:val="17"/>
              </w:rPr>
              <w:t>Geographic bounds</w:t>
            </w:r>
          </w:p>
        </w:tc>
        <w:tc>
          <w:tcPr>
            <w:tcW w:type="dxa" w:w="6984"/>
            <w:vAlign w:val="center"/>
            <w:tcMar>
              <w:top w:w="70" w:type="dxa"/>
              <w:start w:w="80" w:type="dxa"/>
              <w:bottom w:w="70" w:type="dxa"/>
              <w:end w:w="80" w:type="dxa"/>
            </w:tcMar>
          </w:tcPr>
          <w:p>
            <w:r>
              <w:t>Latitude 30–46°N; longitude 128–146°E (exact archived Fukushima bounds)</w:t>
            </w:r>
          </w:p>
        </w:tc>
      </w:tr>
      <w:tr>
        <w:trPr>
          <w:cantSplit/>
        </w:trPr>
        <w:tc>
          <w:tcPr>
            <w:tcW w:type="dxa" w:w="3096"/>
            <w:vAlign w:val="center"/>
            <w:tcMar>
              <w:top w:w="70" w:type="dxa"/>
              <w:start w:w="80" w:type="dxa"/>
              <w:bottom w:w="70" w:type="dxa"/>
              <w:end w:w="80" w:type="dxa"/>
            </w:tcMar>
          </w:tcPr>
          <w:p>
            <w:pPr>
              <w:spacing w:after="0"/>
            </w:pPr>
            <w:r>
              <w:rPr>
                <w:rFonts w:ascii="Times New Roman" w:hAnsi="Times New Roman"/>
                <w:sz w:val="17"/>
              </w:rPr>
              <w:t>Minimum candidate magnitude</w:t>
            </w:r>
          </w:p>
        </w:tc>
        <w:tc>
          <w:tcPr>
            <w:tcW w:type="dxa" w:w="6984"/>
            <w:vAlign w:val="center"/>
            <w:tcMar>
              <w:top w:w="70" w:type="dxa"/>
              <w:start w:w="80" w:type="dxa"/>
              <w:bottom w:w="70" w:type="dxa"/>
              <w:end w:w="80" w:type="dxa"/>
            </w:tcMar>
          </w:tcPr>
          <w:p>
            <w:pPr>
              <w:spacing w:after="0"/>
            </w:pPr>
            <w:r>
              <w:rPr>
                <w:rFonts w:ascii="Times New Roman" w:hAnsi="Times New Roman"/>
                <w:sz w:val="17"/>
              </w:rPr>
              <w:t>M ≥ 7.0</w:t>
            </w:r>
          </w:p>
        </w:tc>
      </w:tr>
      <w:tr>
        <w:trPr>
          <w:cantSplit/>
        </w:trPr>
        <w:tc>
          <w:tcPr>
            <w:tcW w:type="dxa" w:w="3096"/>
            <w:vAlign w:val="center"/>
            <w:tcMar>
              <w:top w:w="70" w:type="dxa"/>
              <w:start w:w="80" w:type="dxa"/>
              <w:bottom w:w="70" w:type="dxa"/>
              <w:end w:w="80" w:type="dxa"/>
            </w:tcMar>
          </w:tcPr>
          <w:p>
            <w:pPr>
              <w:spacing w:after="0"/>
            </w:pPr>
            <w:r>
              <w:rPr>
                <w:rFonts w:ascii="Times New Roman" w:hAnsi="Times New Roman"/>
                <w:sz w:val="17"/>
              </w:rPr>
              <w:t>Candidate date interval</w:t>
            </w:r>
          </w:p>
        </w:tc>
        <w:tc>
          <w:tcPr>
            <w:tcW w:type="dxa" w:w="6984"/>
            <w:vAlign w:val="center"/>
            <w:tcMar>
              <w:top w:w="70" w:type="dxa"/>
              <w:start w:w="80" w:type="dxa"/>
              <w:bottom w:w="70" w:type="dxa"/>
              <w:end w:w="80" w:type="dxa"/>
            </w:tcMar>
          </w:tcPr>
          <w:p>
            <w:r>
              <w:t>Asia/Tokyo calendar dates 1995-01-01 through 2025-06-30 inclusive. USGS retrieval uses the equivalent UTC envelope and candidates are post-filtered by converted JST calendar date.</w:t>
            </w:r>
          </w:p>
        </w:tc>
      </w:tr>
      <w:tr>
        <w:trPr>
          <w:cantSplit/>
        </w:trPr>
        <w:tc>
          <w:tcPr>
            <w:tcW w:type="dxa" w:w="3096"/>
            <w:vAlign w:val="center"/>
            <w:tcMar>
              <w:top w:w="70" w:type="dxa"/>
              <w:start w:w="80" w:type="dxa"/>
              <w:bottom w:w="70" w:type="dxa"/>
              <w:end w:w="80" w:type="dxa"/>
            </w:tcMar>
          </w:tcPr>
          <w:p>
            <w:pPr>
              <w:spacing w:after="0"/>
            </w:pPr>
            <w:r>
              <w:rPr>
                <w:rFonts w:ascii="Times New Roman" w:hAnsi="Times New Roman"/>
                <w:sz w:val="17"/>
              </w:rPr>
              <w:t>Ordering for stored universe</w:t>
            </w:r>
          </w:p>
        </w:tc>
        <w:tc>
          <w:tcPr>
            <w:tcW w:type="dxa" w:w="6984"/>
            <w:vAlign w:val="center"/>
            <w:tcMar>
              <w:top w:w="70" w:type="dxa"/>
              <w:start w:w="80" w:type="dxa"/>
              <w:bottom w:w="70" w:type="dxa"/>
              <w:end w:w="80" w:type="dxa"/>
            </w:tcMar>
          </w:tcPr>
          <w:p>
            <w:pPr>
              <w:spacing w:after="0"/>
            </w:pPr>
            <w:r>
              <w:rPr>
                <w:rFonts w:ascii="Times New Roman" w:hAnsi="Times New Roman"/>
                <w:sz w:val="17"/>
              </w:rPr>
              <w:t>USGS event_id ascending after retrieval</w:t>
            </w:r>
          </w:p>
        </w:tc>
      </w:tr>
      <w:tr>
        <w:trPr>
          <w:cantSplit/>
        </w:trPr>
        <w:tc>
          <w:tcPr>
            <w:tcW w:type="dxa" w:w="3096"/>
            <w:vAlign w:val="center"/>
            <w:tcMar>
              <w:top w:w="70" w:type="dxa"/>
              <w:start w:w="80" w:type="dxa"/>
              <w:bottom w:w="70" w:type="dxa"/>
              <w:end w:w="80" w:type="dxa"/>
            </w:tcMar>
          </w:tcPr>
          <w:p>
            <w:pPr>
              <w:spacing w:after="0"/>
            </w:pPr>
            <w:r>
              <w:rPr>
                <w:rFonts w:ascii="Times New Roman" w:hAnsi="Times New Roman"/>
                <w:sz w:val="17"/>
              </w:rPr>
              <w:t>Manual additions</w:t>
            </w:r>
          </w:p>
        </w:tc>
        <w:tc>
          <w:tcPr>
            <w:tcW w:type="dxa" w:w="6984"/>
            <w:vAlign w:val="center"/>
            <w:tcMar>
              <w:top w:w="70" w:type="dxa"/>
              <w:start w:w="80" w:type="dxa"/>
              <w:bottom w:w="70" w:type="dxa"/>
              <w:end w:w="80" w:type="dxa"/>
            </w:tcMar>
          </w:tcPr>
          <w:p>
            <w:pPr>
              <w:spacing w:after="0"/>
            </w:pPr>
            <w:r>
              <w:rPr>
                <w:rFonts w:ascii="Times New Roman" w:hAnsi="Times New Roman"/>
                <w:sz w:val="17"/>
              </w:rPr>
              <w:t>Not permitted</w:t>
            </w:r>
          </w:p>
        </w:tc>
      </w:tr>
      <w:tr>
        <w:trPr>
          <w:cantSplit/>
        </w:trPr>
        <w:tc>
          <w:tcPr>
            <w:tcW w:type="dxa" w:w="3096"/>
            <w:vAlign w:val="center"/>
            <w:tcMar>
              <w:top w:w="70" w:type="dxa"/>
              <w:start w:w="80" w:type="dxa"/>
              <w:bottom w:w="70" w:type="dxa"/>
              <w:end w:w="80" w:type="dxa"/>
            </w:tcMar>
          </w:tcPr>
          <w:p>
            <w:pPr>
              <w:spacing w:after="0"/>
            </w:pPr>
            <w:r>
              <w:rPr>
                <w:rFonts w:ascii="Times New Roman" w:hAnsi="Times New Roman"/>
                <w:sz w:val="17"/>
              </w:rPr>
              <w:t>Known-event exclusion</w:t>
            </w:r>
          </w:p>
        </w:tc>
        <w:tc>
          <w:tcPr>
            <w:tcW w:type="dxa" w:w="6984"/>
            <w:vAlign w:val="center"/>
            <w:tcMar>
              <w:top w:w="70" w:type="dxa"/>
              <w:start w:w="80" w:type="dxa"/>
              <w:bottom w:w="70" w:type="dxa"/>
              <w:end w:w="80" w:type="dxa"/>
            </w:tcMar>
          </w:tcPr>
          <w:p>
            <w:r>
              <w:t>Exclude the 2011 Tōhoku/Fukushima development event, any event_id already used in the project or prior exploratory boundary analyses, and any candidate whose required aligned 250-control + 250-post window overlaps 2010-06-08 through 2011-09-29.</w:t>
            </w:r>
          </w:p>
        </w:tc>
      </w:tr>
    </w:tbl>
    <w:p>
      <w:r>
        <w:t>The full returned candidate list is stored before any framework output as holdout2_candidate_universe.csv with event_id, UTC origin timestamp, JST origin timestamp/date/time, magnitude, latitude, longitude, place text, eligibility flag, and exclusion reason. The CSV and query configuration are hashed and committed.</w:t>
      </w:r>
    </w:p>
    <w:p>
      <w:pPr>
        <w:pStyle w:val="Heading1"/>
      </w:pPr>
      <w:r>
        <w:t>4. Eligibility rules</w:t>
      </w:r>
    </w:p>
    <w:p>
      <w:pPr>
        <w:pStyle w:val="ListBullet"/>
        <w:spacing w:after="40"/>
      </w:pPr>
      <w:r>
        <w:t>The event has not previously been analyzed in the project and is not represented in prior exploratory boundary outputs.</w:t>
      </w:r>
    </w:p>
    <w:p>
      <w:pPr>
        <w:pStyle w:val="ListBullet"/>
        <w:spacing w:after="40"/>
      </w:pPr>
      <w:r>
        <w:t>The USGS event record supplies a unique event_id, UTC origin timestamp, magnitude, and coordinates; the JST timestamp/date/time are deterministically derived using the Asia/Tokyo time zone.</w:t>
      </w:r>
    </w:p>
    <w:p>
      <w:pPr>
        <w:pStyle w:val="ListBullet"/>
        <w:spacing w:after="40"/>
      </w:pPr>
      <w:r>
        <w:t>The archived Fukushima Japan-region seismic-load retrieval can be run without changing its geographic bounds, magnitude threshold, or energy transformation; only the prespecified UTC-to-JST temporal indexing rule is applied for Holdout 2.</w:t>
      </w:r>
    </w:p>
    <w:p>
      <w:pPr>
        <w:pStyle w:val="ListBullet"/>
        <w:spacing w:after="40"/>
      </w:pPr>
      <w:r>
        <w:t>The fixed ^N225 and JPY=X series are available for at least 250 complete aligned valid observations before the reference date and 250 complete aligned valid observations on/after the reference date after the frozen transformations are applied. To preserve same-day physical/financial alignment without inventing weekend or after-hours aggregation rules, the event’s JST calendar date must be present in the common valid financial-date index and the event origin time must be earlier than 15:00 JST. The 15:00 cutoff is a conservative fixed design rule applied uniformly to the candidate interval.</w:t>
      </w:r>
    </w:p>
    <w:p>
      <w:pPr>
        <w:pStyle w:val="ListBullet"/>
        <w:spacing w:after="40"/>
      </w:pPr>
      <w:r>
        <w:t>No proxy replacement, alternate national index, alternate exchange rate, manual interpolation rule, or event-specific transformation is required. In addition, the candidate’s full 250-observation control plus 250-observation post-control aligned window must not overlap the archived Fukushima development analysis interval 2010-06-08 through 2011-09-29; overlap is an exclusion criterion determined before the random draw.</w:t>
      </w:r>
    </w:p>
    <w:p>
      <w:pPr>
        <w:pStyle w:val="ListBullet"/>
        <w:spacing w:after="40"/>
      </w:pPr>
      <w:r>
        <w:t>If a candidate fails any rule, the exclusion reason is recorded before the random draw. Eligibility is never based on the magnitude or direction of a framework result. These rules define a temporally measurable holdout population; they are not evidence that the selected event is independent of the development-informed template.</w:t>
      </w:r>
    </w:p>
    <w:p>
      <w:pPr>
        <w:pStyle w:val="Heading1"/>
      </w:pPr>
      <w:r>
        <w:t>5. One-time event selection</w:t>
      </w:r>
    </w:p>
    <w:p>
      <w:r>
        <w:t>After eligibility is frozen, eligible candidates are sorted by USGS event_id ascending. Let N be the number of eligible candidates. If N = 0, Holdout 2 is not executed and the absence of an eligible event is reported; a different domain is not substituted after inspecting simulation results. If N = 1, that event is selected without randomness. If N &gt; 1, exactly one event is selected using the following frozen algorithm:</w:t>
      </w:r>
    </w:p>
    <w:p>
      <w:pPr>
        <w:pStyle w:val="ListBullet"/>
        <w:spacing w:after="40"/>
      </w:pPr>
      <w:r>
        <w:t>Instantiate NumPy Generator(PCG64(SeedSequence([731006]))).</w:t>
      </w:r>
    </w:p>
    <w:p>
      <w:pPr>
        <w:pStyle w:val="ListBullet"/>
        <w:spacing w:after="40"/>
      </w:pPr>
      <w:r>
        <w:t>Draw one integer i uniformly from {0, …, N−1} using generator.integers(0, N).</w:t>
      </w:r>
    </w:p>
    <w:p>
      <w:pPr>
        <w:pStyle w:val="ListBullet"/>
        <w:spacing w:after="40"/>
      </w:pPr>
      <w:r>
        <w:t>Select eligible_sorted[i].</w:t>
      </w:r>
    </w:p>
    <w:p>
      <w:pPr>
        <w:pStyle w:val="ListBullet"/>
        <w:spacing w:after="40"/>
      </w:pPr>
      <w:r>
        <w:t>Record N, i, selected event_id, NumPy version, candidate-universe SHA-256, and selection-script SHA-256. No redraw is permitted because of an unfavorable or uninteresting result.</w:t>
      </w:r>
    </w:p>
    <w:p>
      <w:pPr>
        <w:pStyle w:val="Heading1"/>
      </w:pPr>
      <w:r>
        <w:t>6. Event-specific analysis freeze</w:t>
      </w:r>
    </w:p>
    <w:p>
      <w:r>
        <w:t>After the event is selected but before any framework output is generated, create and commit holdout2_selected_event.json. The following analysis rules are fixed: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952"/>
            <w:shd w:fill="D9EAF7"/>
            <w:vAlign w:val="center"/>
            <w:tcMar>
              <w:top w:w="70" w:type="dxa"/>
              <w:start w:w="80" w:type="dxa"/>
              <w:bottom w:w="70" w:type="dxa"/>
              <w:end w:w="80" w:type="dxa"/>
            </w:tcMar>
          </w:tcPr>
          <w:p>
            <w:pPr>
              <w:spacing w:after="0"/>
            </w:pPr>
            <w:r>
              <w:rPr>
                <w:rFonts w:ascii="Arial" w:hAnsi="Arial"/>
                <w:b/>
                <w:sz w:val="17"/>
              </w:rPr>
              <w:t>Component</w:t>
            </w:r>
          </w:p>
        </w:tc>
        <w:tc>
          <w:tcPr>
            <w:tcW w:type="dxa" w:w="7128"/>
            <w:shd w:fill="D9EAF7"/>
            <w:vAlign w:val="center"/>
            <w:tcMar>
              <w:top w:w="70" w:type="dxa"/>
              <w:start w:w="80" w:type="dxa"/>
              <w:bottom w:w="70" w:type="dxa"/>
              <w:end w:w="80" w:type="dxa"/>
            </w:tcMar>
          </w:tcPr>
          <w:p>
            <w:pPr>
              <w:spacing w:after="0"/>
            </w:pPr>
            <w:r>
              <w:rPr>
                <w:rFonts w:ascii="Arial" w:hAnsi="Arial"/>
                <w:b/>
                <w:sz w:val="17"/>
              </w:rPr>
              <w:t>Frozen rule</w:t>
            </w:r>
          </w:p>
        </w:tc>
      </w:tr>
      <w:tr>
        <w:trPr>
          <w:cantSplit/>
        </w:trPr>
        <w:tc>
          <w:tcPr>
            <w:tcW w:type="dxa" w:w="2952"/>
            <w:vAlign w:val="center"/>
            <w:tcMar>
              <w:top w:w="70" w:type="dxa"/>
              <w:start w:w="80" w:type="dxa"/>
              <w:bottom w:w="70" w:type="dxa"/>
              <w:end w:w="80" w:type="dxa"/>
            </w:tcMar>
          </w:tcPr>
          <w:p>
            <w:pPr>
              <w:spacing w:after="0"/>
            </w:pPr>
            <w:r>
              <w:rPr>
                <w:rFonts w:ascii="Times New Roman" w:hAnsi="Times New Roman"/>
                <w:sz w:val="17"/>
              </w:rPr>
              <w:t>Reference date</w:t>
            </w:r>
          </w:p>
        </w:tc>
        <w:tc>
          <w:tcPr>
            <w:tcW w:type="dxa" w:w="7128"/>
            <w:vAlign w:val="center"/>
            <w:tcMar>
              <w:top w:w="70" w:type="dxa"/>
              <w:start w:w="80" w:type="dxa"/>
              <w:bottom w:w="70" w:type="dxa"/>
              <w:end w:w="80" w:type="dxa"/>
            </w:tcMar>
          </w:tcPr>
          <w:p>
            <w:r>
              <w:t>Convert the selected USGS UTC origin timestamp to Asia/Tokyo (JST). The reference date is the resulting JST calendar date.</w:t>
            </w:r>
          </w:p>
        </w:tc>
      </w:tr>
      <w:tr>
        <w:trPr>
          <w:cantSplit/>
        </w:trPr>
        <w:tc>
          <w:tcPr>
            <w:tcW w:type="dxa" w:w="2952"/>
            <w:vAlign w:val="center"/>
            <w:tcMar>
              <w:top w:w="70" w:type="dxa"/>
              <w:start w:w="80" w:type="dxa"/>
              <w:bottom w:w="70" w:type="dxa"/>
              <w:end w:w="80" w:type="dxa"/>
            </w:tcMar>
          </w:tcPr>
          <w:p>
            <w:pPr>
              <w:spacing w:after="0"/>
            </w:pPr>
            <w:r>
              <w:rPr>
                <w:rFonts w:ascii="Times New Roman" w:hAnsi="Times New Roman"/>
                <w:sz w:val="17"/>
              </w:rPr>
              <w:t>Alignment</w:t>
            </w:r>
          </w:p>
        </w:tc>
        <w:tc>
          <w:tcPr>
            <w:tcW w:type="dxa" w:w="7128"/>
            <w:vAlign w:val="center"/>
            <w:tcMar>
              <w:top w:w="70" w:type="dxa"/>
              <w:start w:w="80" w:type="dxa"/>
              <w:bottom w:w="70" w:type="dxa"/>
              <w:end w:w="80" w:type="dxa"/>
            </w:tcMar>
          </w:tcPr>
          <w:p>
            <w:r>
              <w:t>USGS events are aggregated by JST calendar date. Use complete finite transformed values on common valid ^N225 and JPY=X dates. Eligibility requires the JST event date itself to be a common valid financial date and the origin time to be earlier than 15:00 JST, so the mainshock date is retained without a weekend/after-hours fallback rule.</w:t>
            </w:r>
          </w:p>
        </w:tc>
      </w:tr>
      <w:tr>
        <w:trPr>
          <w:cantSplit/>
        </w:trPr>
        <w:tc>
          <w:tcPr>
            <w:tcW w:type="dxa" w:w="2952"/>
            <w:vAlign w:val="center"/>
            <w:tcMar>
              <w:top w:w="70" w:type="dxa"/>
              <w:start w:w="80" w:type="dxa"/>
              <w:bottom w:w="70" w:type="dxa"/>
              <w:end w:w="80" w:type="dxa"/>
            </w:tcMar>
          </w:tcPr>
          <w:p>
            <w:pPr>
              <w:spacing w:after="0"/>
            </w:pPr>
            <w:r>
              <w:rPr>
                <w:rFonts w:ascii="Times New Roman" w:hAnsi="Times New Roman"/>
                <w:sz w:val="17"/>
              </w:rPr>
              <w:t>Control / calibration</w:t>
            </w:r>
          </w:p>
        </w:tc>
        <w:tc>
          <w:tcPr>
            <w:tcW w:type="dxa" w:w="7128"/>
            <w:vAlign w:val="center"/>
            <w:tcMar>
              <w:top w:w="70" w:type="dxa"/>
              <w:start w:w="80" w:type="dxa"/>
              <w:bottom w:w="70" w:type="dxa"/>
              <w:end w:w="80" w:type="dxa"/>
            </w:tcMar>
          </w:tcPr>
          <w:p>
            <w:r>
              <w:t>The 250 aligned valid observations strictly preceding the JST reference date. Calibration is identical to control.</w:t>
            </w:r>
          </w:p>
        </w:tc>
      </w:tr>
      <w:tr>
        <w:trPr>
          <w:cantSplit/>
        </w:trPr>
        <w:tc>
          <w:tcPr>
            <w:tcW w:type="dxa" w:w="2952"/>
            <w:vAlign w:val="center"/>
            <w:tcMar>
              <w:top w:w="70" w:type="dxa"/>
              <w:start w:w="80" w:type="dxa"/>
              <w:bottom w:w="70" w:type="dxa"/>
              <w:end w:w="80" w:type="dxa"/>
            </w:tcMar>
          </w:tcPr>
          <w:p>
            <w:pPr>
              <w:spacing w:after="0"/>
            </w:pPr>
            <w:r>
              <w:rPr>
                <w:rFonts w:ascii="Times New Roman" w:hAnsi="Times New Roman"/>
                <w:sz w:val="17"/>
              </w:rPr>
              <w:t>Post-control</w:t>
            </w:r>
          </w:p>
        </w:tc>
        <w:tc>
          <w:tcPr>
            <w:tcW w:type="dxa" w:w="7128"/>
            <w:vAlign w:val="center"/>
            <w:tcMar>
              <w:top w:w="70" w:type="dxa"/>
              <w:start w:w="80" w:type="dxa"/>
              <w:bottom w:w="70" w:type="dxa"/>
              <w:end w:w="80" w:type="dxa"/>
            </w:tcMar>
          </w:tcPr>
          <w:p>
            <w:r>
              <w:t>The JST reference-date observation and the next 249 aligned valid observations (250 total).</w:t>
            </w:r>
          </w:p>
        </w:tc>
      </w:tr>
      <w:tr>
        <w:trPr>
          <w:cantSplit/>
        </w:trPr>
        <w:tc>
          <w:tcPr>
            <w:tcW w:type="dxa" w:w="2952"/>
            <w:vAlign w:val="center"/>
            <w:tcMar>
              <w:top w:w="70" w:type="dxa"/>
              <w:start w:w="80" w:type="dxa"/>
              <w:bottom w:w="70" w:type="dxa"/>
              <w:end w:w="80" w:type="dxa"/>
            </w:tcMar>
          </w:tcPr>
          <w:p>
            <w:pPr>
              <w:spacing w:after="0"/>
            </w:pPr>
            <w:r>
              <w:rPr>
                <w:rFonts w:ascii="Times New Roman" w:hAnsi="Times New Roman"/>
                <w:sz w:val="17"/>
              </w:rPr>
              <w:t>Normalization</w:t>
            </w:r>
          </w:p>
        </w:tc>
        <w:tc>
          <w:tcPr>
            <w:tcW w:type="dxa" w:w="7128"/>
            <w:vAlign w:val="center"/>
            <w:tcMar>
              <w:top w:w="70" w:type="dxa"/>
              <w:start w:w="80" w:type="dxa"/>
              <w:bottom w:w="70" w:type="dxa"/>
              <w:end w:w="80" w:type="dxa"/>
            </w:tcMar>
          </w:tcPr>
          <w:p>
            <w:pPr>
              <w:spacing w:after="0"/>
            </w:pPr>
            <w:r>
              <w:rPr>
                <w:rFonts w:ascii="Times New Roman" w:hAnsi="Times New Roman"/>
                <w:sz w:val="17"/>
              </w:rPr>
              <w:t>Channel-specific P99 from the control/calibration observations; no upper cap.</w:t>
            </w:r>
          </w:p>
        </w:tc>
      </w:tr>
      <w:tr>
        <w:trPr>
          <w:cantSplit/>
        </w:trPr>
        <w:tc>
          <w:tcPr>
            <w:tcW w:type="dxa" w:w="2952"/>
            <w:vAlign w:val="center"/>
            <w:tcMar>
              <w:top w:w="70" w:type="dxa"/>
              <w:start w:w="80" w:type="dxa"/>
              <w:bottom w:w="70" w:type="dxa"/>
              <w:end w:w="80" w:type="dxa"/>
            </w:tcMar>
          </w:tcPr>
          <w:p>
            <w:pPr>
              <w:spacing w:after="0"/>
            </w:pPr>
            <w:r>
              <w:rPr>
                <w:rFonts w:ascii="Times New Roman" w:hAnsi="Times New Roman"/>
                <w:sz w:val="17"/>
              </w:rPr>
              <w:t>Primary score</w:t>
            </w:r>
          </w:p>
        </w:tc>
        <w:tc>
          <w:tcPr>
            <w:tcW w:type="dxa" w:w="7128"/>
            <w:vAlign w:val="center"/>
            <w:tcMar>
              <w:top w:w="70" w:type="dxa"/>
              <w:start w:w="80" w:type="dxa"/>
              <w:bottom w:w="70" w:type="dxa"/>
              <w:end w:w="80" w:type="dxa"/>
            </w:tcMar>
          </w:tcPr>
          <w:p>
            <w:pPr>
              <w:spacing w:after="0"/>
            </w:pPr>
            <w:r>
              <w:rPr>
                <w:rFonts w:ascii="Times New Roman" w:hAnsi="Times New Roman"/>
                <w:sz w:val="17"/>
              </w:rPr>
              <w:t>S = z₁ z₂ z₃, fixed unit exponents, no fitted coefficients.</w:t>
            </w:r>
          </w:p>
        </w:tc>
      </w:tr>
      <w:tr>
        <w:trPr>
          <w:cantSplit/>
        </w:trPr>
        <w:tc>
          <w:tcPr>
            <w:tcW w:type="dxa" w:w="2952"/>
            <w:vAlign w:val="center"/>
            <w:tcMar>
              <w:top w:w="70" w:type="dxa"/>
              <w:start w:w="80" w:type="dxa"/>
              <w:bottom w:w="70" w:type="dxa"/>
              <w:end w:w="80" w:type="dxa"/>
            </w:tcMar>
          </w:tcPr>
          <w:p>
            <w:pPr>
              <w:spacing w:after="0"/>
            </w:pPr>
            <w:r>
              <w:rPr>
                <w:rFonts w:ascii="Times New Roman" w:hAnsi="Times New Roman"/>
                <w:sz w:val="17"/>
              </w:rPr>
              <w:t>Benchmarks</w:t>
            </w:r>
          </w:p>
        </w:tc>
        <w:tc>
          <w:tcPr>
            <w:tcW w:type="dxa" w:w="7128"/>
            <w:vAlign w:val="center"/>
            <w:tcMar>
              <w:top w:w="70" w:type="dxa"/>
              <w:start w:w="80" w:type="dxa"/>
              <w:bottom w:w="70" w:type="dxa"/>
              <w:end w:w="80" w:type="dxa"/>
            </w:tcMar>
          </w:tcPr>
          <w:p>
            <w:pPr>
              <w:spacing w:after="0"/>
            </w:pPr>
            <w:r>
              <w:rPr>
                <w:rFonts w:ascii="Times New Roman" w:hAnsi="Times New Roman"/>
                <w:sz w:val="17"/>
              </w:rPr>
              <w:t>Sum and maximum on identical normalized inputs.</w:t>
            </w:r>
          </w:p>
        </w:tc>
      </w:tr>
      <w:tr>
        <w:trPr>
          <w:cantSplit/>
        </w:trPr>
        <w:tc>
          <w:tcPr>
            <w:tcW w:type="dxa" w:w="2952"/>
            <w:vAlign w:val="center"/>
            <w:tcMar>
              <w:top w:w="70" w:type="dxa"/>
              <w:start w:w="80" w:type="dxa"/>
              <w:bottom w:w="70" w:type="dxa"/>
              <w:end w:w="80" w:type="dxa"/>
            </w:tcMar>
          </w:tcPr>
          <w:p>
            <w:pPr>
              <w:spacing w:after="0"/>
            </w:pPr>
            <w:r>
              <w:rPr>
                <w:rFonts w:ascii="Times New Roman" w:hAnsi="Times New Roman"/>
                <w:sz w:val="17"/>
              </w:rPr>
              <w:t>Primary contrast</w:t>
            </w:r>
          </w:p>
        </w:tc>
        <w:tc>
          <w:tcPr>
            <w:tcW w:type="dxa" w:w="7128"/>
            <w:vAlign w:val="center"/>
            <w:tcMar>
              <w:top w:w="70" w:type="dxa"/>
              <w:start w:w="80" w:type="dxa"/>
              <w:bottom w:w="70" w:type="dxa"/>
              <w:end w:w="80" w:type="dxa"/>
            </w:tcMar>
          </w:tcPr>
          <w:p>
            <w:pPr>
              <w:spacing w:after="0"/>
            </w:pPr>
            <w:r>
              <w:rPr>
                <w:rFonts w:ascii="Times New Roman" w:hAnsi="Times New Roman"/>
                <w:sz w:val="17"/>
              </w:rPr>
              <w:t>R_PC/C = mean(S_post) / mean(S_control), separately for product, sum, and maximum.</w:t>
            </w:r>
          </w:p>
        </w:tc>
      </w:tr>
      <w:tr>
        <w:trPr>
          <w:cantSplit/>
        </w:trPr>
        <w:tc>
          <w:tcPr>
            <w:tcW w:type="dxa" w:w="2952"/>
            <w:vAlign w:val="center"/>
            <w:tcMar>
              <w:top w:w="70" w:type="dxa"/>
              <w:start w:w="80" w:type="dxa"/>
              <w:bottom w:w="70" w:type="dxa"/>
              <w:end w:w="80" w:type="dxa"/>
            </w:tcMar>
          </w:tcPr>
          <w:p>
            <w:pPr>
              <w:spacing w:after="0"/>
            </w:pPr>
            <w:r>
              <w:rPr>
                <w:rFonts w:ascii="Times New Roman" w:hAnsi="Times New Roman"/>
                <w:sz w:val="17"/>
              </w:rPr>
              <w:t>Additional diagnostics</w:t>
            </w:r>
          </w:p>
        </w:tc>
        <w:tc>
          <w:tcPr>
            <w:tcW w:type="dxa" w:w="7128"/>
            <w:vAlign w:val="center"/>
            <w:tcMar>
              <w:top w:w="70" w:type="dxa"/>
              <w:start w:w="80" w:type="dxa"/>
              <w:bottom w:w="70" w:type="dxa"/>
              <w:end w:w="80" w:type="dxa"/>
            </w:tcMar>
          </w:tcPr>
          <w:p>
            <w:pPr>
              <w:spacing w:after="0"/>
            </w:pPr>
            <w:r>
              <w:rPr>
                <w:rFonts w:ascii="Times New Roman" w:hAnsi="Times New Roman"/>
                <w:sz w:val="17"/>
              </w:rPr>
              <w:t>Descriptive channel means and control-window pairwise correlations only. No new optimized threshold, classifier, or event-specific permutation design is introduced.</w:t>
            </w:r>
          </w:p>
        </w:tc>
      </w:tr>
      <w:tr>
        <w:trPr>
          <w:cantSplit/>
        </w:trPr>
        <w:tc>
          <w:tcPr>
            <w:tcW w:type="dxa" w:w="2952"/>
            <w:vAlign w:val="center"/>
            <w:tcMar>
              <w:top w:w="70" w:type="dxa"/>
              <w:start w:w="80" w:type="dxa"/>
              <w:bottom w:w="70" w:type="dxa"/>
              <w:end w:w="80" w:type="dxa"/>
            </w:tcMar>
          </w:tcPr>
          <w:p>
            <w:pPr>
              <w:spacing w:after="0"/>
            </w:pPr>
            <w:r>
              <w:rPr>
                <w:rFonts w:ascii="Times New Roman" w:hAnsi="Times New Roman"/>
                <w:sz w:val="17"/>
              </w:rPr>
              <w:t>Result policy</w:t>
            </w:r>
          </w:p>
        </w:tc>
        <w:tc>
          <w:tcPr>
            <w:tcW w:type="dxa" w:w="7128"/>
            <w:vAlign w:val="center"/>
            <w:tcMar>
              <w:top w:w="70" w:type="dxa"/>
              <w:start w:w="80" w:type="dxa"/>
              <w:bottom w:w="70" w:type="dxa"/>
              <w:end w:w="80" w:type="dxa"/>
            </w:tcMar>
          </w:tcPr>
          <w:p>
            <w:pPr>
              <w:spacing w:after="0"/>
            </w:pPr>
            <w:r>
              <w:rPr>
                <w:rFonts w:ascii="Times New Roman" w:hAnsi="Times New Roman"/>
                <w:sz w:val="17"/>
              </w:rPr>
              <w:t>Report the frozen result regardless of direction, magnitude, or operator ranking.</w:t>
            </w:r>
          </w:p>
        </w:tc>
      </w:tr>
      <w:tr>
        <w:trPr>
          <w:cantSplit/>
        </w:trPr>
        <w:tc>
          <w:tcPr>
            <w:tcW w:type="dxa" w:w="5083"/>
          </w:tcPr>
          <w:p>
            <w:r>
              <w:t>Evidential status</w:t>
            </w:r>
          </w:p>
        </w:tc>
        <w:tc>
          <w:tcPr>
            <w:tcW w:type="dxa" w:w="5083"/>
          </w:tcPr>
          <w:p>
            <w:r>
              <w:t>Output-blind randomly selected historical holdout within a development-informed template. This strengthens event-selection independence but is not independent validation of the template itself.</w:t>
            </w:r>
          </w:p>
        </w:tc>
      </w:tr>
    </w:tbl>
    <w:p>
      <w:pPr>
        <w:pStyle w:val="Heading1"/>
      </w:pPr>
      <w:r>
        <w:t>7. Failure and fallback rules</w:t>
      </w:r>
    </w:p>
    <w:p>
      <w:pPr>
        <w:pStyle w:val="ListBullet"/>
        <w:spacing w:after="40"/>
      </w:pPr>
      <w:r>
        <w:t>Provider/network failure is not an eligibility failure. Retry the same source and same frozen query; do not substitute a different proxy or event.</w:t>
      </w:r>
    </w:p>
    <w:p>
      <w:pPr>
        <w:pStyle w:val="ListBullet"/>
        <w:spacing w:after="40"/>
      </w:pPr>
      <w:r>
        <w:t>If source data are permanently unavailable after selection, document the failure and leave Holdout 2 unresolved; do not redraw another event.</w:t>
      </w:r>
    </w:p>
    <w:p>
      <w:pPr>
        <w:pStyle w:val="ListBullet"/>
        <w:spacing w:after="40"/>
      </w:pPr>
      <w:r>
        <w:t>If a pre-existing project analysis of the selected event is discovered after the draw, document the protocol breach and do not silently redraw. The holdout loses its intended evidential status unless a dated amendment justifies a new procedure before any framework output is inspected.</w:t>
      </w:r>
    </w:p>
    <w:p>
      <w:pPr>
        <w:pStyle w:val="ListBullet"/>
        <w:spacing w:after="40"/>
      </w:pPr>
      <w:r>
        <w:t>Any coding correction after output inspection must preserve the selected event and frozen specification and be documented in a dated amendment.</w:t>
      </w:r>
    </w:p>
    <w:p>
      <w:pPr>
        <w:pStyle w:val="Heading1"/>
      </w:pPr>
      <w:r>
        <w:t>8. Required pre-output artifacts</w:t>
      </w:r>
    </w:p>
    <w:p>
      <w:pPr>
        <w:pStyle w:val="ListBullet"/>
        <w:spacing w:after="40"/>
      </w:pPr>
      <w:r>
        <w:t>holdout2_candidate_query.json</w:t>
      </w:r>
    </w:p>
    <w:p>
      <w:pPr>
        <w:pStyle w:val="ListBullet"/>
        <w:spacing w:after="40"/>
      </w:pPr>
      <w:r>
        <w:t>holdout2_candidate_universe.csv</w:t>
      </w:r>
    </w:p>
    <w:p>
      <w:pPr>
        <w:pStyle w:val="ListBullet"/>
        <w:spacing w:after="40"/>
      </w:pPr>
      <w:r>
        <w:t>holdout2_eligibility_audit.csv</w:t>
      </w:r>
    </w:p>
    <w:p>
      <w:pPr>
        <w:pStyle w:val="ListBullet"/>
        <w:spacing w:after="40"/>
      </w:pPr>
      <w:r>
        <w:t>holdout2_selection_record.json</w:t>
      </w:r>
    </w:p>
    <w:p>
      <w:pPr>
        <w:pStyle w:val="ListBullet"/>
        <w:spacing w:after="40"/>
      </w:pPr>
      <w:r>
        <w:t>holdout2_selected_event.json</w:t>
      </w:r>
    </w:p>
    <w:p>
      <w:pPr>
        <w:pStyle w:val="ListBullet"/>
        <w:spacing w:after="40"/>
      </w:pPr>
      <w:r>
        <w:t>SHA-256 manifest for the above files and selection script</w:t>
      </w:r>
    </w:p>
    <w:p>
      <w:pPr>
        <w:pStyle w:val="ListBullet"/>
        <w:spacing w:after="40"/>
      </w:pPr>
      <w:r>
        <w:t>Git commit/tag identifying the pre-output freeze</w:t>
      </w:r>
    </w:p>
    <w:p>
      <w:r>
        <w:rPr>
          <w:b/>
        </w:rPr>
        <w:t xml:space="preserve">Execution gate. </w:t>
      </w:r>
      <w:r>
        <w:t>Only after all items above are committed may the selected event’s x₁/x₂/x₃ series, normalization constants, operator scores, or contrasts be generated and inspected.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HOLDOUT-2 — FINAL PRE-OUTPUT ELIGIBILITY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