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Protocol v2</w:t>
      </w:r>
    </w:p>
    <w:p>
      <w:pPr>
        <w:jc w:val="center"/>
      </w:pPr>
      <w:r>
        <w:rPr>
          <w:rFonts w:ascii="Arial" w:hAnsi="Arial"/>
          <w:b/>
          <w:sz w:val="22"/>
        </w:rPr>
        <w:t>Final pre-freeze evaluation plan for the cross-domain multiplicative stress framework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90" w:type="dxa"/>
              <w:bottom w:w="80" w:type="dxa"/>
              <w:end w:w="90" w:type="dxa"/>
            </w:tcMar>
          </w:tcPr>
          <w:p>
            <w:r>
              <w:rPr>
                <w:sz w:val="18"/>
              </w:rPr>
              <w:t>Field</w:t>
            </w:r>
          </w:p>
        </w:tc>
        <w:tc>
          <w:tcPr>
            <w:tcW w:type="dxa" w:w="5083"/>
            <w:shd w:fill="D9EAF7"/>
            <w:vAlign w:val="center"/>
            <w:tcMar>
              <w:top w:w="80" w:type="dxa"/>
              <w:start w:w="90" w:type="dxa"/>
              <w:bottom w:w="80" w:type="dxa"/>
              <w:end w:w="90" w:type="dxa"/>
            </w:tcMar>
          </w:tcPr>
          <w:p>
            <w:r>
              <w:rPr>
                <w:sz w:val="18"/>
              </w:rPr>
              <w:t>Specification</w:t>
            </w:r>
          </w:p>
        </w:tc>
      </w:tr>
      <w:tr>
        <w:tc>
          <w:tcPr>
            <w:tcW w:type="dxa" w:w="5083"/>
            <w:tcMar>
              <w:top w:w="80" w:type="dxa"/>
              <w:start w:w="90" w:type="dxa"/>
              <w:bottom w:w="80" w:type="dxa"/>
              <w:end w:w="90" w:type="dxa"/>
            </w:tcMar>
          </w:tcPr>
          <w:p>
            <w:r>
              <w:rPr>
                <w:b/>
                <w:sz w:val="18"/>
              </w:rPr>
              <w:t>Author</w:t>
            </w:r>
          </w:p>
        </w:tc>
        <w:tc>
          <w:tcPr>
            <w:tcW w:type="dxa" w:w="5083"/>
            <w:tcMar>
              <w:top w:w="80" w:type="dxa"/>
              <w:start w:w="90" w:type="dxa"/>
              <w:bottom w:w="80" w:type="dxa"/>
              <w:end w:w="90" w:type="dxa"/>
            </w:tcMar>
          </w:tcPr>
          <w:p>
            <w:r>
              <w:rPr>
                <w:sz w:val="18"/>
              </w:rPr>
              <w:t>Junwon Lee</w:t>
            </w:r>
          </w:p>
        </w:tc>
      </w:tr>
      <w:tr>
        <w:tc>
          <w:tcPr>
            <w:tcW w:type="dxa" w:w="5083"/>
            <w:tcMar>
              <w:top w:w="80" w:type="dxa"/>
              <w:start w:w="90" w:type="dxa"/>
              <w:bottom w:w="80" w:type="dxa"/>
              <w:end w:w="90" w:type="dxa"/>
            </w:tcMar>
          </w:tcPr>
          <w:p>
            <w:r>
              <w:rPr>
                <w:b/>
                <w:sz w:val="18"/>
              </w:rPr>
              <w:t>Protocol status</w:t>
            </w:r>
          </w:p>
        </w:tc>
        <w:tc>
          <w:tcPr>
            <w:tcW w:type="dxa" w:w="5083"/>
            <w:tcMar>
              <w:top w:w="80" w:type="dxa"/>
              <w:start w:w="90" w:type="dxa"/>
              <w:bottom w:w="80" w:type="dxa"/>
              <w:end w:w="90" w:type="dxa"/>
            </w:tcMar>
          </w:tcPr>
          <w:p>
            <w:r>
              <w:t>FINAL PRE-FREEZE — methodological review incorporated; becomes frozen only after the protocol, executable JSON configuration, and Holdout-2 eligibility plan are committed/tagged before any v2 analytical output is inspected</w:t>
            </w:r>
          </w:p>
        </w:tc>
      </w:tr>
      <w:tr>
        <w:tc>
          <w:tcPr>
            <w:tcW w:type="dxa" w:w="5083"/>
            <w:tcMar>
              <w:top w:w="80" w:type="dxa"/>
              <w:start w:w="90" w:type="dxa"/>
              <w:bottom w:w="80" w:type="dxa"/>
              <w:end w:w="90" w:type="dxa"/>
            </w:tcMar>
          </w:tcPr>
          <w:p>
            <w:r>
              <w:rPr>
                <w:b/>
                <w:sz w:val="18"/>
              </w:rPr>
              <w:t>Protocol date</w:t>
            </w:r>
          </w:p>
        </w:tc>
        <w:tc>
          <w:tcPr>
            <w:tcW w:type="dxa" w:w="5083"/>
            <w:tcMar>
              <w:top w:w="80" w:type="dxa"/>
              <w:start w:w="90" w:type="dxa"/>
              <w:bottom w:w="80" w:type="dxa"/>
              <w:end w:w="90" w:type="dxa"/>
            </w:tcMar>
          </w:tcPr>
          <w:p>
            <w:r>
              <w:rPr>
                <w:sz w:val="18"/>
              </w:rPr>
              <w:t>1 October 2026</w:t>
            </w:r>
          </w:p>
        </w:tc>
      </w:tr>
      <w:tr>
        <w:tc>
          <w:tcPr>
            <w:tcW w:type="dxa" w:w="5083"/>
            <w:tcMar>
              <w:top w:w="80" w:type="dxa"/>
              <w:start w:w="90" w:type="dxa"/>
              <w:bottom w:w="80" w:type="dxa"/>
              <w:end w:w="90" w:type="dxa"/>
            </w:tcMar>
          </w:tcPr>
          <w:p>
            <w:r>
              <w:rPr>
                <w:b/>
                <w:sz w:val="18"/>
              </w:rPr>
              <w:t>Parent framework</w:t>
            </w:r>
          </w:p>
        </w:tc>
        <w:tc>
          <w:tcPr>
            <w:tcW w:type="dxa" w:w="5083"/>
            <w:tcMar>
              <w:top w:w="80" w:type="dxa"/>
              <w:start w:w="90" w:type="dxa"/>
              <w:bottom w:w="80" w:type="dxa"/>
              <w:end w:w="90" w:type="dxa"/>
            </w:tcMar>
          </w:tcPr>
          <w:p>
            <w:r>
              <w:rPr>
                <w:sz w:val="18"/>
              </w:rPr>
              <w:t>A Cross-Domain Multiplicative Framework for Systemic Stress</w:t>
            </w:r>
          </w:p>
        </w:tc>
      </w:tr>
      <w:tr>
        <w:tc>
          <w:tcPr>
            <w:tcW w:type="dxa" w:w="5083"/>
            <w:tcMar>
              <w:top w:w="80" w:type="dxa"/>
              <w:start w:w="90" w:type="dxa"/>
              <w:bottom w:w="80" w:type="dxa"/>
              <w:end w:w="90" w:type="dxa"/>
            </w:tcMar>
          </w:tcPr>
          <w:p>
            <w:r>
              <w:rPr>
                <w:b/>
                <w:sz w:val="18"/>
              </w:rPr>
              <w:t>Existing development archive</w:t>
            </w:r>
          </w:p>
        </w:tc>
        <w:tc>
          <w:tcPr>
            <w:tcW w:type="dxa" w:w="5083"/>
            <w:tcMar>
              <w:top w:w="80" w:type="dxa"/>
              <w:start w:w="90" w:type="dxa"/>
              <w:bottom w:w="80" w:type="dxa"/>
              <w:end w:w="90" w:type="dxa"/>
            </w:tcMar>
          </w:tcPr>
          <w:p>
            <w:r>
              <w:rPr>
                <w:sz w:val="18"/>
              </w:rPr>
              <w:t>Zenodo DOI: 10.5281/zenodo.22765907</w:t>
            </w:r>
          </w:p>
        </w:tc>
      </w:tr>
      <w:tr>
        <w:tc>
          <w:tcPr>
            <w:tcW w:type="dxa" w:w="5083"/>
            <w:tcMar>
              <w:top w:w="80" w:type="dxa"/>
              <w:start w:w="90" w:type="dxa"/>
              <w:bottom w:w="80" w:type="dxa"/>
              <w:end w:w="90" w:type="dxa"/>
            </w:tcMar>
          </w:tcPr>
          <w:p>
            <w:r>
              <w:rPr>
                <w:b/>
                <w:sz w:val="18"/>
              </w:rPr>
              <w:t>Existing reproducibility snapshot</w:t>
            </w:r>
          </w:p>
        </w:tc>
        <w:tc>
          <w:tcPr>
            <w:tcW w:type="dxa" w:w="5083"/>
            <w:tcMar>
              <w:top w:w="80" w:type="dxa"/>
              <w:start w:w="90" w:type="dxa"/>
              <w:bottom w:w="80" w:type="dxa"/>
              <w:end w:w="90" w:type="dxa"/>
            </w:tcMar>
          </w:tcPr>
          <w:p>
            <w:r>
              <w:rPr>
                <w:sz w:val="18"/>
              </w:rPr>
              <w:t>Git commit: df0f0ca58bcfdd6582ef52c936ad7a8ac68b9937</w:t>
            </w:r>
          </w:p>
        </w:tc>
      </w:tr>
      <w:tr>
        <w:tc>
          <w:tcPr>
            <w:tcW w:type="dxa" w:w="5083"/>
            <w:tcMar>
              <w:top w:w="80" w:type="dxa"/>
              <w:start w:w="90" w:type="dxa"/>
              <w:bottom w:w="80" w:type="dxa"/>
              <w:end w:w="90" w:type="dxa"/>
            </w:tcMar>
          </w:tcPr>
          <w:p>
            <w:r>
              <w:rPr>
                <w:b/>
                <w:sz w:val="18"/>
              </w:rPr>
              <w:t>Scope</w:t>
            </w:r>
          </w:p>
        </w:tc>
        <w:tc>
          <w:tcPr>
            <w:tcW w:type="dxa" w:w="5083"/>
            <w:tcMar>
              <w:top w:w="80" w:type="dxa"/>
              <w:start w:w="90" w:type="dxa"/>
              <w:bottom w:w="80" w:type="dxa"/>
              <w:end w:w="90" w:type="dxa"/>
            </w:tcMar>
          </w:tcPr>
          <w:p>
            <w:r>
              <w:rPr>
                <w:sz w:val="18"/>
              </w:rPr>
              <w:t>One focused controlled simulation + five retained retrospective development cases + frozen LTCM + one new prespecified historical holdout. Existing evidence is not reclassified as independent validation.</w:t>
            </w:r>
          </w:p>
        </w:tc>
      </w:tr>
    </w:tbl>
    <w:p>
      <w:r>
        <w:rPr>
          <w:b/>
        </w:rPr>
        <w:t xml:space="preserve">Freeze condition. </w:t>
      </w:r>
      <w:r>
        <w:t>No v2 simulation result, Holdout-2 framework output, or result-dependent manuscript revision may be inspected before the protocol package is committed and tagged. Metadata-only eligibility checks are allowed where explicitly specified.</w:t>
      </w:r>
    </w:p>
    <w:p>
      <w:pPr>
        <w:pStyle w:val="Heading1"/>
      </w:pPr>
      <w:r>
        <w:t>1. Study objective and design principle</w:t>
      </w:r>
    </w:p>
    <w:p>
      <w:r>
        <w:t>The objective is to determine when a deliberately simple conjunctive multiplicative rule provides informative multichannel stress characterization and when it weakens. The model itself is not made more complex to improve performance; the evaluation is made more demanding.</w:t>
      </w:r>
    </w:p>
    <w:p>
      <w:r>
        <w:rPr>
          <w:b/>
        </w:rPr>
        <w:t xml:space="preserve">Design principle: simple model, hard tests. </w:t>
      </w:r>
      <w:r>
        <w:t>No fitted channel weights, fitted exponents, machine-learning optimization, adaptive thresholds, or post-result operator tuning will be introduced.</w:t>
      </w:r>
    </w:p>
    <w:p>
      <w:pPr>
        <w:pStyle w:val="Heading2"/>
      </w:pPr>
      <w:r>
        <w:t>1.1 Prespecified research questions</w:t>
      </w:r>
    </w:p>
    <w:p>
      <w:pPr>
        <w:pStyle w:val="ListBullet"/>
        <w:spacing w:after="40"/>
      </w:pPr>
      <w:r>
        <w:t>RQ1 — Activation breadth: How does operator behavior change when one, two, or all three channels are stressed?</w:t>
      </w:r>
    </w:p>
    <w:p>
      <w:pPr>
        <w:pStyle w:val="ListBullet"/>
        <w:spacing w:after="40"/>
      </w:pPr>
      <w:r>
        <w:t>RQ2 — Cross-channel dependence: How does imposed cross-channel dependence alter the behavior of the full three-channel product relative to additive and maximum benchmarks?</w:t>
      </w:r>
    </w:p>
    <w:p>
      <w:r>
        <w:t>Temporal-misalignment experiments, heavy-tail/zero-inflation experiments, large placebo programs, learned operator families, and forecasting/classification objectives are outside the primary v2 design. They will not be added after results are seen to improve the present study.</w:t>
      </w:r>
    </w:p>
    <w:p>
      <w:pPr>
        <w:pStyle w:val="Heading1"/>
      </w:pPr>
      <w:r>
        <w:t>2. Fixed framework and benchmark operators</w:t>
      </w:r>
    </w:p>
    <w:p>
      <w:r>
        <w:t>For each empirical or simulated series, three aligned non-negative channels are denoted x₁,t, x₂,t, and x₃,t. The primary normalization remains the existing channel-wise P99 rule, with the calibration sample fixed before evaluation:</w:t>
      </w:r>
    </w:p>
    <w:p>
      <w:pPr>
        <w:jc w:val="center"/>
      </w:pPr>
      <w:r>
        <w:rPr>
          <w:rFonts w:ascii="Cambria Math" w:hAnsi="Cambria Math"/>
          <w:sz w:val="22"/>
        </w:rPr>
        <w:t>zⱼ,t = xⱼ,t / cⱼ,     cⱼ = P99 of channel j in the calibration sample</w:t>
      </w:r>
    </w:p>
    <w:p>
      <w:r>
        <w:t>The primary conjunctive score remains the fixed unit-exponent product:</w:t>
      </w:r>
    </w:p>
    <w:p>
      <w:pPr>
        <w:jc w:val="center"/>
      </w:pPr>
      <w:r>
        <w:rPr>
          <w:rFonts w:ascii="Cambria Math" w:hAnsi="Cambria Math"/>
          <w:sz w:val="22"/>
        </w:rPr>
        <w:t>Sₜ(product) = z₁,t z₂,t z₃,t</w:t>
      </w:r>
    </w:p>
    <w:p>
      <w:r>
        <w:t>Two benchmark operators are evaluated on the identical normalized inputs:</w:t>
      </w:r>
    </w:p>
    <w:p>
      <w:pPr>
        <w:jc w:val="center"/>
      </w:pPr>
      <w:r>
        <w:rPr>
          <w:rFonts w:ascii="Cambria Math" w:hAnsi="Cambria Math"/>
          <w:sz w:val="22"/>
        </w:rPr>
        <w:t>Sₜ(sum) = z₁,t + z₂,t + z₃,t        Sₜ(max) = max(z₁,t, z₂,t, z₃,t)</w:t>
      </w:r>
    </w:p>
    <w:p>
      <w:r>
        <w:t>Cumulative exposure Π(t) may be retained for descriptive trajectories, but it is secondary. No operator is fitted or tuned to simulated or historical outcomes.</w:t>
      </w:r>
    </w:p>
    <w:p>
      <w:pPr>
        <w:pStyle w:val="Heading1"/>
      </w:pPr>
      <w:r>
        <w:t>3. Evidence design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D9EAF7"/>
            <w:vAlign w:val="center"/>
            <w:tcMar>
              <w:top w:w="70" w:type="dxa"/>
              <w:start w:w="80" w:type="dxa"/>
              <w:bottom w:w="70" w:type="dxa"/>
              <w:end w:w="80" w:type="dxa"/>
            </w:tcMar>
          </w:tcPr>
          <w:p>
            <w:pPr>
              <w:spacing w:after="0"/>
            </w:pPr>
            <w:r>
              <w:rPr>
                <w:rFonts w:ascii="Arial" w:hAnsi="Arial"/>
                <w:b/>
                <w:sz w:val="17"/>
              </w:rPr>
              <w:t>Layer</w:t>
            </w:r>
          </w:p>
        </w:tc>
        <w:tc>
          <w:tcPr>
            <w:tcW w:type="dxa" w:w="4896"/>
            <w:shd w:fill="D9EAF7"/>
            <w:vAlign w:val="center"/>
            <w:tcMar>
              <w:top w:w="70" w:type="dxa"/>
              <w:start w:w="80" w:type="dxa"/>
              <w:bottom w:w="70" w:type="dxa"/>
              <w:end w:w="80" w:type="dxa"/>
            </w:tcMar>
          </w:tcPr>
          <w:p>
            <w:pPr>
              <w:spacing w:after="0"/>
            </w:pPr>
            <w:r>
              <w:rPr>
                <w:rFonts w:ascii="Arial" w:hAnsi="Arial"/>
                <w:b/>
                <w:sz w:val="17"/>
              </w:rPr>
              <w:t>Purpose</w:t>
            </w:r>
          </w:p>
        </w:tc>
        <w:tc>
          <w:tcPr>
            <w:tcW w:type="dxa" w:w="3240"/>
            <w:shd w:fill="D9EAF7"/>
            <w:vAlign w:val="center"/>
            <w:tcMar>
              <w:top w:w="70" w:type="dxa"/>
              <w:start w:w="80" w:type="dxa"/>
              <w:bottom w:w="70" w:type="dxa"/>
              <w:end w:w="80" w:type="dxa"/>
            </w:tcMar>
          </w:tcPr>
          <w:p>
            <w:pPr>
              <w:spacing w:after="0"/>
            </w:pPr>
            <w:r>
              <w:rPr>
                <w:rFonts w:ascii="Arial" w:hAnsi="Arial"/>
                <w:b/>
                <w:sz w:val="17"/>
              </w:rPr>
              <w:t>Evidential status</w:t>
            </w:r>
          </w:p>
        </w:tc>
      </w:tr>
      <w:tr>
        <w:tc>
          <w:tcPr>
            <w:tcW w:type="dxa" w:w="1944"/>
            <w:vAlign w:val="center"/>
            <w:tcMar>
              <w:top w:w="70" w:type="dxa"/>
              <w:start w:w="80" w:type="dxa"/>
              <w:bottom w:w="70" w:type="dxa"/>
              <w:end w:w="80" w:type="dxa"/>
            </w:tcMar>
          </w:tcPr>
          <w:p>
            <w:pPr>
              <w:spacing w:after="0"/>
            </w:pPr>
            <w:r>
              <w:rPr>
                <w:rFonts w:ascii="Times New Roman" w:hAnsi="Times New Roman"/>
                <w:sz w:val="17"/>
              </w:rPr>
              <w:t>A. Controlled simulation</w:t>
            </w:r>
          </w:p>
        </w:tc>
        <w:tc>
          <w:tcPr>
            <w:tcW w:type="dxa" w:w="4896"/>
            <w:vAlign w:val="center"/>
            <w:tcMar>
              <w:top w:w="70" w:type="dxa"/>
              <w:start w:w="80" w:type="dxa"/>
              <w:bottom w:w="70" w:type="dxa"/>
              <w:end w:w="80" w:type="dxa"/>
            </w:tcMar>
          </w:tcPr>
          <w:p>
            <w:pPr>
              <w:spacing w:after="0"/>
            </w:pPr>
            <w:r>
              <w:rPr>
                <w:rFonts w:ascii="Times New Roman" w:hAnsi="Times New Roman"/>
                <w:sz w:val="17"/>
              </w:rPr>
              <w:t>Identify how activation breadth and dependence alter operator behavior under known conditions.</w:t>
            </w:r>
          </w:p>
        </w:tc>
        <w:tc>
          <w:tcPr>
            <w:tcW w:type="dxa" w:w="3240"/>
            <w:vAlign w:val="center"/>
            <w:tcMar>
              <w:top w:w="70" w:type="dxa"/>
              <w:start w:w="80" w:type="dxa"/>
              <w:bottom w:w="70" w:type="dxa"/>
              <w:end w:w="80" w:type="dxa"/>
            </w:tcMar>
          </w:tcPr>
          <w:p>
            <w:pPr>
              <w:spacing w:after="0"/>
            </w:pPr>
            <w:r>
              <w:rPr>
                <w:rFonts w:ascii="Times New Roman" w:hAnsi="Times New Roman"/>
                <w:sz w:val="17"/>
              </w:rPr>
              <w:t>Primary new controlled evidence.</w:t>
            </w:r>
          </w:p>
        </w:tc>
      </w:tr>
      <w:tr>
        <w:tc>
          <w:tcPr>
            <w:tcW w:type="dxa" w:w="1944"/>
            <w:vAlign w:val="center"/>
            <w:tcMar>
              <w:top w:w="70" w:type="dxa"/>
              <w:start w:w="80" w:type="dxa"/>
              <w:bottom w:w="70" w:type="dxa"/>
              <w:end w:w="80" w:type="dxa"/>
            </w:tcMar>
          </w:tcPr>
          <w:p>
            <w:pPr>
              <w:spacing w:after="0"/>
            </w:pPr>
            <w:r>
              <w:rPr>
                <w:rFonts w:ascii="Times New Roman" w:hAnsi="Times New Roman"/>
                <w:sz w:val="17"/>
              </w:rPr>
              <w:t>B. Retrospective development cases</w:t>
            </w:r>
          </w:p>
        </w:tc>
        <w:tc>
          <w:tcPr>
            <w:tcW w:type="dxa" w:w="4896"/>
            <w:vAlign w:val="center"/>
            <w:tcMar>
              <w:top w:w="70" w:type="dxa"/>
              <w:start w:w="80" w:type="dxa"/>
              <w:bottom w:w="70" w:type="dxa"/>
              <w:end w:w="80" w:type="dxa"/>
            </w:tcMar>
          </w:tcPr>
          <w:p>
            <w:pPr>
              <w:spacing w:after="0"/>
            </w:pPr>
            <w:r>
              <w:rPr>
                <w:rFonts w:ascii="Times New Roman" w:hAnsi="Times New Roman"/>
                <w:sz w:val="17"/>
              </w:rPr>
              <w:t>Relate previously observed real-world behavior to controlled regimes.</w:t>
            </w:r>
          </w:p>
        </w:tc>
        <w:tc>
          <w:tcPr>
            <w:tcW w:type="dxa" w:w="3240"/>
            <w:vAlign w:val="center"/>
            <w:tcMar>
              <w:top w:w="70" w:type="dxa"/>
              <w:start w:w="80" w:type="dxa"/>
              <w:bottom w:w="70" w:type="dxa"/>
              <w:end w:w="80" w:type="dxa"/>
            </w:tcMar>
          </w:tcPr>
          <w:p>
            <w:pPr>
              <w:spacing w:after="0"/>
            </w:pPr>
            <w:r>
              <w:rPr>
                <w:rFonts w:ascii="Times New Roman" w:hAnsi="Times New Roman"/>
                <w:sz w:val="17"/>
              </w:rPr>
              <w:t>Development evidence only; not independent validation.</w:t>
            </w:r>
          </w:p>
        </w:tc>
      </w:tr>
      <w:tr>
        <w:tc>
          <w:tcPr>
            <w:tcW w:type="dxa" w:w="1944"/>
            <w:vAlign w:val="center"/>
            <w:tcMar>
              <w:top w:w="70" w:type="dxa"/>
              <w:start w:w="80" w:type="dxa"/>
              <w:bottom w:w="70" w:type="dxa"/>
              <w:end w:w="80" w:type="dxa"/>
            </w:tcMar>
          </w:tcPr>
          <w:p>
            <w:pPr>
              <w:spacing w:after="0"/>
            </w:pPr>
            <w:r>
              <w:rPr>
                <w:rFonts w:ascii="Times New Roman" w:hAnsi="Times New Roman"/>
                <w:sz w:val="17"/>
              </w:rPr>
              <w:t>C. Frozen historical transfer</w:t>
            </w:r>
          </w:p>
        </w:tc>
        <w:tc>
          <w:tcPr>
            <w:tcW w:type="dxa" w:w="4896"/>
            <w:vAlign w:val="center"/>
            <w:tcMar>
              <w:top w:w="70" w:type="dxa"/>
              <w:start w:w="80" w:type="dxa"/>
              <w:bottom w:w="70" w:type="dxa"/>
              <w:end w:w="80" w:type="dxa"/>
            </w:tcMar>
          </w:tcPr>
          <w:p>
            <w:pPr>
              <w:spacing w:after="0"/>
            </w:pPr>
            <w:r>
              <w:rPr>
                <w:rFonts w:ascii="Times New Roman" w:hAnsi="Times New Roman"/>
                <w:sz w:val="17"/>
              </w:rPr>
              <w:t>Retain LTCM and add one prespecified historical holdout without post-output retuning.</w:t>
            </w:r>
          </w:p>
        </w:tc>
        <w:tc>
          <w:tcPr>
            <w:tcW w:type="dxa" w:w="3240"/>
            <w:vAlign w:val="center"/>
            <w:tcMar>
              <w:top w:w="70" w:type="dxa"/>
              <w:start w:w="80" w:type="dxa"/>
              <w:bottom w:w="70" w:type="dxa"/>
              <w:end w:w="80" w:type="dxa"/>
            </w:tcMar>
          </w:tcPr>
          <w:p>
            <w:pPr>
              <w:spacing w:after="0"/>
            </w:pPr>
            <w:r>
              <w:rPr>
                <w:rFonts w:ascii="Times New Roman" w:hAnsi="Times New Roman"/>
                <w:sz w:val="17"/>
              </w:rPr>
              <w:t>Procedural holdout evidence; not prospective forecasting.</w:t>
            </w:r>
          </w:p>
        </w:tc>
      </w:tr>
    </w:tbl>
    <w:p>
      <w:pPr>
        <w:pStyle w:val="Heading1"/>
      </w:pPr>
      <w:r>
        <w:t>4. Controlled simulation study</w:t>
      </w:r>
    </w:p>
    <w:p>
      <w:pPr>
        <w:pStyle w:val="Heading2"/>
      </w:pPr>
      <w:r>
        <w:t>4.1 Exact canonical data-generating process</w:t>
      </w:r>
    </w:p>
    <w:p>
      <w:r>
        <w:t>Each replicate contains three latent channels. A 500-observation burn-in is generated and discarded. The retained series contains 250 control observations followed by 250 post-control observations. The control segment is also the calibration segment for P99 scaling.</w:t>
      </w:r>
    </w:p>
    <w:p>
      <w:r>
        <w:t>The latent process is a three-dimensional stationary AR(1) with fixed persistence φ = 0.5 and Gaussian equicorrelated innovations. Innovations have unit marginal variance and pairwise correlation ρ. The recursion is scaled so the stationary marginal variance of each latent channel is 1:</w:t>
      </w:r>
    </w:p>
    <w:p>
      <w:pPr>
        <w:jc w:val="center"/>
      </w:pPr>
      <w:r>
        <w:rPr>
          <w:rFonts w:ascii="Cambria Math" w:hAnsi="Cambria Math"/>
          <w:sz w:val="21"/>
        </w:rPr>
        <w:t>gₜ = φgₜ₋₁ + √(1−φ²) εₜ,     εₜ ~ N(0, Σρ),     xⱼ,t = exp(gⱼ,t)</w:t>
      </w:r>
    </w:p>
    <w:p>
      <w:r>
        <w:t>All channels begin at zero before burn-in; the 500-observation burn-in removes dependence on that initialization for the retained analysis. The latent process generates the baseline positive observations xⱼ,t = exp(gⱼ,t). For each replicate, let sⱼ be the sample standard deviation (ddof = 1) of xⱼ,t over the 250 control observations. Stress is introduced only in post-control observations 76–175 inclusive. For active channels j ≤ k, the observed-scale series is perturbed additively as x*ⱼ,t = xⱼ,t + δsⱼ; all other observations retain x*ⱼ,t = xⱼ,t. Thus δ is measured in channel-specific control-period observed-scale standard-deviation units rather than being a multiplicative latent-scale shock. Inactive channels receive no shift. Channel identity is fixed by symmetry; it is never selected for favorable performance. All simulation normalization and operator calculations are applied to the perturbed series x*; the control/calibration segment is unperturbed, so its P99 reference and control-period scale are computed from the original control x values.</w:t>
      </w:r>
    </w:p>
    <w:p>
      <w:pPr>
        <w:pStyle w:val="Heading2"/>
      </w:pPr>
      <w:r>
        <w:t>4.2 Prespecified factorial grid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D9EAF7"/>
            <w:vAlign w:val="center"/>
            <w:tcMar>
              <w:top w:w="70" w:type="dxa"/>
              <w:start w:w="80" w:type="dxa"/>
              <w:bottom w:w="70" w:type="dxa"/>
              <w:end w:w="80" w:type="dxa"/>
            </w:tcMar>
          </w:tcPr>
          <w:p>
            <w:pPr>
              <w:spacing w:after="0"/>
            </w:pPr>
            <w:r>
              <w:rPr>
                <w:rFonts w:ascii="Arial" w:hAnsi="Arial"/>
                <w:b/>
                <w:sz w:val="18"/>
              </w:rPr>
              <w:t>Factor</w:t>
            </w:r>
          </w:p>
        </w:tc>
        <w:tc>
          <w:tcPr>
            <w:tcW w:type="dxa" w:w="6840"/>
            <w:shd w:fill="D9EAF7"/>
            <w:vAlign w:val="center"/>
            <w:tcMar>
              <w:top w:w="70" w:type="dxa"/>
              <w:start w:w="80" w:type="dxa"/>
              <w:bottom w:w="70" w:type="dxa"/>
              <w:end w:w="80" w:type="dxa"/>
            </w:tcMar>
          </w:tcPr>
          <w:p>
            <w:pPr>
              <w:spacing w:after="0"/>
            </w:pPr>
            <w:r>
              <w:rPr>
                <w:rFonts w:ascii="Arial" w:hAnsi="Arial"/>
                <w:b/>
                <w:sz w:val="18"/>
              </w:rPr>
              <w:t>Prespecified values</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Active channels (k)</w:t>
            </w:r>
          </w:p>
        </w:tc>
        <w:tc>
          <w:tcPr>
            <w:tcW w:type="dxa" w:w="6840"/>
            <w:vAlign w:val="center"/>
            <w:tcMar>
              <w:top w:w="70" w:type="dxa"/>
              <w:start w:w="80" w:type="dxa"/>
              <w:bottom w:w="70" w:type="dxa"/>
              <w:end w:w="80" w:type="dxa"/>
            </w:tcMar>
          </w:tcPr>
          <w:p>
            <w:pPr>
              <w:spacing w:after="0"/>
            </w:pPr>
            <w:r>
              <w:rPr>
                <w:rFonts w:ascii="Times New Roman" w:hAnsi="Times New Roman"/>
                <w:sz w:val="18"/>
              </w:rPr>
              <w:t>1, 2, 3</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Innovation equicorrelation (ρ)</w:t>
            </w:r>
          </w:p>
        </w:tc>
        <w:tc>
          <w:tcPr>
            <w:tcW w:type="dxa" w:w="6840"/>
            <w:vAlign w:val="center"/>
            <w:tcMar>
              <w:top w:w="70" w:type="dxa"/>
              <w:start w:w="80" w:type="dxa"/>
              <w:bottom w:w="70" w:type="dxa"/>
              <w:end w:w="80" w:type="dxa"/>
            </w:tcMar>
          </w:tcPr>
          <w:p>
            <w:pPr>
              <w:spacing w:after="0"/>
            </w:pPr>
            <w:r>
              <w:rPr>
                <w:rFonts w:ascii="Times New Roman" w:hAnsi="Times New Roman"/>
                <w:sz w:val="18"/>
              </w:rPr>
              <w:t>0.0, 0.3, 0.6, 0.9</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Stress magnitude (δ)</w:t>
            </w:r>
          </w:p>
        </w:tc>
        <w:tc>
          <w:tcPr>
            <w:tcW w:type="dxa" w:w="6840"/>
            <w:vAlign w:val="center"/>
            <w:tcMar>
              <w:top w:w="70" w:type="dxa"/>
              <w:start w:w="80" w:type="dxa"/>
              <w:bottom w:w="70" w:type="dxa"/>
              <w:end w:w="80" w:type="dxa"/>
            </w:tcMar>
          </w:tcPr>
          <w:p>
            <w:r>
              <w:t>0.5, 1.0, 1.5 × channel-specific control-period SD of observed x (additive shift; ddof = 1)</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Persistence (φ)</w:t>
            </w:r>
          </w:p>
        </w:tc>
        <w:tc>
          <w:tcPr>
            <w:tcW w:type="dxa" w:w="6840"/>
            <w:vAlign w:val="center"/>
            <w:tcMar>
              <w:top w:w="70" w:type="dxa"/>
              <w:start w:w="80" w:type="dxa"/>
              <w:bottom w:w="70" w:type="dxa"/>
              <w:end w:w="80" w:type="dxa"/>
            </w:tcMar>
          </w:tcPr>
          <w:p>
            <w:pPr>
              <w:spacing w:after="0"/>
            </w:pPr>
            <w:r>
              <w:rPr>
                <w:rFonts w:ascii="Times New Roman" w:hAnsi="Times New Roman"/>
                <w:sz w:val="18"/>
              </w:rPr>
              <w:t>0.5, fixed</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Burn-in</w:t>
            </w:r>
          </w:p>
        </w:tc>
        <w:tc>
          <w:tcPr>
            <w:tcW w:type="dxa" w:w="6840"/>
            <w:vAlign w:val="center"/>
            <w:tcMar>
              <w:top w:w="70" w:type="dxa"/>
              <w:start w:w="80" w:type="dxa"/>
              <w:bottom w:w="70" w:type="dxa"/>
              <w:end w:w="80" w:type="dxa"/>
            </w:tcMar>
          </w:tcPr>
          <w:p>
            <w:pPr>
              <w:spacing w:after="0"/>
            </w:pPr>
            <w:r>
              <w:rPr>
                <w:rFonts w:ascii="Times New Roman" w:hAnsi="Times New Roman"/>
                <w:sz w:val="18"/>
              </w:rPr>
              <w:t>500 observations, discarded</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Control / post-control</w:t>
            </w:r>
          </w:p>
        </w:tc>
        <w:tc>
          <w:tcPr>
            <w:tcW w:type="dxa" w:w="6840"/>
            <w:vAlign w:val="center"/>
            <w:tcMar>
              <w:top w:w="70" w:type="dxa"/>
              <w:start w:w="80" w:type="dxa"/>
              <w:bottom w:w="70" w:type="dxa"/>
              <w:end w:w="80" w:type="dxa"/>
            </w:tcMar>
          </w:tcPr>
          <w:p>
            <w:pPr>
              <w:spacing w:after="0"/>
            </w:pPr>
            <w:r>
              <w:rPr>
                <w:rFonts w:ascii="Times New Roman" w:hAnsi="Times New Roman"/>
                <w:sz w:val="18"/>
              </w:rPr>
              <w:t>250 / 250 retained observations</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Calibration</w:t>
            </w:r>
          </w:p>
        </w:tc>
        <w:tc>
          <w:tcPr>
            <w:tcW w:type="dxa" w:w="6840"/>
            <w:vAlign w:val="center"/>
            <w:tcMar>
              <w:top w:w="70" w:type="dxa"/>
              <w:start w:w="80" w:type="dxa"/>
              <w:bottom w:w="70" w:type="dxa"/>
              <w:end w:w="80" w:type="dxa"/>
            </w:tcMar>
          </w:tcPr>
          <w:p>
            <w:pPr>
              <w:spacing w:after="0"/>
            </w:pPr>
            <w:r>
              <w:rPr>
                <w:rFonts w:ascii="Times New Roman" w:hAnsi="Times New Roman"/>
                <w:sz w:val="18"/>
              </w:rPr>
              <w:t>Control segment; channel-specific P99</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Stress interval</w:t>
            </w:r>
          </w:p>
        </w:tc>
        <w:tc>
          <w:tcPr>
            <w:tcW w:type="dxa" w:w="6840"/>
            <w:vAlign w:val="center"/>
            <w:tcMar>
              <w:top w:w="70" w:type="dxa"/>
              <w:start w:w="80" w:type="dxa"/>
              <w:bottom w:w="70" w:type="dxa"/>
              <w:end w:w="80" w:type="dxa"/>
            </w:tcMar>
          </w:tcPr>
          <w:p>
            <w:pPr>
              <w:spacing w:after="0"/>
            </w:pPr>
            <w:r>
              <w:rPr>
                <w:rFonts w:ascii="Times New Roman" w:hAnsi="Times New Roman"/>
                <w:sz w:val="18"/>
              </w:rPr>
              <w:t>Post-control observations 76–175 inclusive</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Alternative replications</w:t>
            </w:r>
          </w:p>
        </w:tc>
        <w:tc>
          <w:tcPr>
            <w:tcW w:type="dxa" w:w="6840"/>
            <w:vAlign w:val="center"/>
            <w:tcMar>
              <w:top w:w="70" w:type="dxa"/>
              <w:start w:w="80" w:type="dxa"/>
              <w:bottom w:w="70" w:type="dxa"/>
              <w:end w:w="80" w:type="dxa"/>
            </w:tcMar>
          </w:tcPr>
          <w:p>
            <w:pPr>
              <w:spacing w:after="0"/>
            </w:pPr>
            <w:r>
              <w:rPr>
                <w:rFonts w:ascii="Times New Roman" w:hAnsi="Times New Roman"/>
                <w:sz w:val="18"/>
              </w:rPr>
              <w:t>1,000 per (k, ρ, δ) cell</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Matched null replications</w:t>
            </w:r>
          </w:p>
        </w:tc>
        <w:tc>
          <w:tcPr>
            <w:tcW w:type="dxa" w:w="6840"/>
            <w:vAlign w:val="center"/>
            <w:tcMar>
              <w:top w:w="70" w:type="dxa"/>
              <w:start w:w="80" w:type="dxa"/>
              <w:bottom w:w="70" w:type="dxa"/>
              <w:end w:w="80" w:type="dxa"/>
            </w:tcMar>
          </w:tcPr>
          <w:p>
            <w:pPr>
              <w:spacing w:after="0"/>
            </w:pPr>
            <w:r>
              <w:rPr>
                <w:rFonts w:ascii="Times New Roman" w:hAnsi="Times New Roman"/>
                <w:sz w:val="18"/>
              </w:rPr>
              <w:t>1,000 per ρ level with δ = 0; shared across k and δ at that ρ</w:t>
            </w:r>
          </w:p>
        </w:tc>
      </w:tr>
      <w:tr>
        <w:tc>
          <w:tcPr>
            <w:tcW w:type="dxa" w:w="3240"/>
            <w:vAlign w:val="center"/>
            <w:tcMar>
              <w:top w:w="70" w:type="dxa"/>
              <w:start w:w="80" w:type="dxa"/>
              <w:bottom w:w="70" w:type="dxa"/>
              <w:end w:w="80" w:type="dxa"/>
            </w:tcMar>
          </w:tcPr>
          <w:p>
            <w:pPr>
              <w:spacing w:after="0"/>
            </w:pPr>
            <w:r>
              <w:rPr>
                <w:rFonts w:ascii="Times New Roman" w:hAnsi="Times New Roman"/>
                <w:sz w:val="18"/>
              </w:rPr>
              <w:t>Total alternative cells</w:t>
            </w:r>
          </w:p>
        </w:tc>
        <w:tc>
          <w:tcPr>
            <w:tcW w:type="dxa" w:w="6840"/>
            <w:vAlign w:val="center"/>
            <w:tcMar>
              <w:top w:w="70" w:type="dxa"/>
              <w:start w:w="80" w:type="dxa"/>
              <w:bottom w:w="70" w:type="dxa"/>
              <w:end w:w="80" w:type="dxa"/>
            </w:tcMar>
          </w:tcPr>
          <w:p>
            <w:pPr>
              <w:spacing w:after="0"/>
            </w:pPr>
            <w:r>
              <w:rPr>
                <w:rFonts w:ascii="Times New Roman" w:hAnsi="Times New Roman"/>
                <w:sz w:val="18"/>
              </w:rPr>
              <w:t>36</w:t>
            </w:r>
          </w:p>
        </w:tc>
      </w:tr>
    </w:tbl>
    <w:p>
      <w:r>
        <w:t>The primary question is not whether one operator is globally “best.” The analysis asks whether the fixed product is especially responsive to broad simultaneous activation and whether that behavior changes as cross-channel dependence increases.</w:t>
      </w:r>
    </w:p>
    <w:p>
      <w:pPr>
        <w:pStyle w:val="Heading2"/>
      </w:pPr>
      <w:r>
        <w:t>4.3 Prespecified summaries</w:t>
      </w:r>
    </w:p>
    <w:p>
      <w:r>
        <w:t>For each replicate and each operator, the principal within-series contrast is:</w:t>
      </w:r>
    </w:p>
    <w:p>
      <w:pPr>
        <w:jc w:val="center"/>
      </w:pPr>
      <w:r>
        <w:rPr>
          <w:rFonts w:ascii="Cambria Math" w:hAnsi="Cambria Math"/>
          <w:sz w:val="22"/>
        </w:rPr>
        <w:t>T = log[ mean(Spost) / mean(Scontrol) ]</w:t>
      </w:r>
    </w:p>
    <w:p>
      <w:r>
        <w:t>Raw product, sum, and maximum ratios are not treated as directly commensurate evidence of universal operator superiority. Each structural regime will be summarized using:</w:t>
      </w:r>
    </w:p>
    <w:p>
      <w:pPr>
        <w:pStyle w:val="ListBullet"/>
        <w:spacing w:after="40"/>
      </w:pPr>
      <w:r>
        <w:t>the empirical distribution of T for each operator;</w:t>
      </w:r>
    </w:p>
    <w:p>
      <w:pPr>
        <w:pStyle w:val="ListBullet"/>
        <w:spacing w:after="40"/>
      </w:pPr>
      <w:r>
        <w:t>the matched-null T distribution at the same ρ;</w:t>
      </w:r>
    </w:p>
    <w:p>
      <w:pPr>
        <w:pStyle w:val="ListBullet"/>
        <w:spacing w:after="40"/>
      </w:pPr>
      <w:r>
        <w:t>standardized separation D = [mean(Talt) − mean(Tnull)] / SD(Tnull); and</w:t>
      </w:r>
    </w:p>
    <w:p>
      <w:pPr>
        <w:pStyle w:val="ListBullet"/>
        <w:spacing w:after="40"/>
      </w:pPr>
      <w:r>
        <w:t>Monte Carlo 95% intervals for mean(Talt) and mean(Tnull), computed as mean ± 1.96 × Monte Carlo standard error.</w:t>
      </w:r>
    </w:p>
    <w:p>
      <w:r>
        <w:t>No optimized cutoff, sensitivity/specificity estimate, AUC, forecasting claim, or global winner will be derived from the simulation.</w:t>
      </w:r>
    </w:p>
    <w:p>
      <w:pPr>
        <w:pStyle w:val="Heading2"/>
      </w:pPr>
      <w:r>
        <w:t>4.4 Supplementary normalization robustness</w:t>
      </w:r>
    </w:p>
    <w:p>
      <w:r>
        <w:t>P99 scaling remains the primary specification. The exact same simulated observations will be re-analyzed once using a bounded empirical-percentile transform as a prespecified Supplementary Information robustness check. For simulation evaluation observations, the transform is applied to x* against the unperturbed control empirical distribution:</w:t>
      </w:r>
    </w:p>
    <w:p>
      <w:pPr>
        <w:jc w:val="center"/>
      </w:pPr>
      <w:r>
        <w:rPr>
          <w:rFonts w:ascii="Cambria Math" w:hAnsi="Cambria Math"/>
          <w:sz w:val="21"/>
        </w:rPr>
        <w:t>uⱼ,t = [0.5 + #{xⱼ,i(control) ≤ x*ⱼ,t}] / (ncontrol + 1)</w:t>
      </w:r>
    </w:p>
    <w:p>
      <w:r>
        <w:t>The percentile analysis is paired to the primary simulation and uses no new simulated datasets. It is not used to select whichever normalization favors the product. Agreement or disagreement with P99 is itself reportable.</w:t>
      </w:r>
    </w:p>
    <w:p>
      <w:pPr>
        <w:pStyle w:val="Heading1"/>
      </w:pPr>
      <w:r>
        <w:t>5. Existing empirical cases: retained development evidence</w:t>
      </w:r>
    </w:p>
    <w:p>
      <w:r>
        <w:t>The five previously analyzed episodes retain their original evidential status. Their variables, transformations, calibration periods, and windows were developed with knowledge of the historical events and are therefore not relabeled as independent validation. They are used to contextualize controlled patterns, not to prove that the simulated data-generating process caused the historical events.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D9EAF7"/>
            <w:vAlign w:val="center"/>
            <w:tcMar>
              <w:top w:w="70" w:type="dxa"/>
              <w:start w:w="80" w:type="dxa"/>
              <w:bottom w:w="70" w:type="dxa"/>
              <w:end w:w="80" w:type="dxa"/>
            </w:tcMar>
          </w:tcPr>
          <w:p>
            <w:pPr>
              <w:spacing w:after="0"/>
            </w:pPr>
            <w:r>
              <w:rPr>
                <w:rFonts w:ascii="Arial" w:hAnsi="Arial"/>
                <w:b/>
                <w:sz w:val="18"/>
              </w:rPr>
              <w:t>Case</w:t>
            </w:r>
          </w:p>
        </w:tc>
        <w:tc>
          <w:tcPr>
            <w:tcW w:type="dxa" w:w="7200"/>
            <w:shd w:fill="D9EAF7"/>
            <w:vAlign w:val="center"/>
            <w:tcMar>
              <w:top w:w="70" w:type="dxa"/>
              <w:start w:w="80" w:type="dxa"/>
              <w:bottom w:w="70" w:type="dxa"/>
              <w:end w:w="80" w:type="dxa"/>
            </w:tcMar>
          </w:tcPr>
          <w:p>
            <w:pPr>
              <w:spacing w:after="0"/>
            </w:pPr>
            <w:r>
              <w:rPr>
                <w:rFonts w:ascii="Arial" w:hAnsi="Arial"/>
                <w:b/>
                <w:sz w:val="18"/>
              </w:rPr>
              <w:t>Role in v2 interpretation</w:t>
            </w:r>
          </w:p>
        </w:tc>
      </w:tr>
      <w:tr>
        <w:tc>
          <w:tcPr>
            <w:tcW w:type="dxa" w:w="2880"/>
            <w:vAlign w:val="center"/>
            <w:tcMar>
              <w:top w:w="70" w:type="dxa"/>
              <w:start w:w="80" w:type="dxa"/>
              <w:bottom w:w="70" w:type="dxa"/>
              <w:end w:w="80" w:type="dxa"/>
            </w:tcMar>
          </w:tcPr>
          <w:p>
            <w:pPr>
              <w:spacing w:after="0"/>
            </w:pPr>
            <w:r>
              <w:rPr>
                <w:rFonts w:ascii="Times New Roman" w:hAnsi="Times New Roman"/>
                <w:sz w:val="18"/>
              </w:rPr>
              <w:t>2008 financial crisis</w:t>
            </w:r>
          </w:p>
        </w:tc>
        <w:tc>
          <w:tcPr>
            <w:tcW w:type="dxa" w:w="7200"/>
            <w:vAlign w:val="center"/>
            <w:tcMar>
              <w:top w:w="70" w:type="dxa"/>
              <w:start w:w="80" w:type="dxa"/>
              <w:bottom w:w="70" w:type="dxa"/>
              <w:end w:w="80" w:type="dxa"/>
            </w:tcMar>
          </w:tcPr>
          <w:p>
            <w:pPr>
              <w:spacing w:after="0"/>
            </w:pPr>
            <w:r>
              <w:rPr>
                <w:rFonts w:ascii="Times New Roman" w:hAnsi="Times New Roman"/>
                <w:sz w:val="18"/>
              </w:rPr>
              <w:t>Empirical illustration of broad multichannel activation.</w:t>
            </w:r>
          </w:p>
        </w:tc>
      </w:tr>
      <w:tr>
        <w:tc>
          <w:tcPr>
            <w:tcW w:type="dxa" w:w="2880"/>
            <w:vAlign w:val="center"/>
            <w:tcMar>
              <w:top w:w="70" w:type="dxa"/>
              <w:start w:w="80" w:type="dxa"/>
              <w:bottom w:w="70" w:type="dxa"/>
              <w:end w:w="80" w:type="dxa"/>
            </w:tcMar>
          </w:tcPr>
          <w:p>
            <w:pPr>
              <w:spacing w:after="0"/>
            </w:pPr>
            <w:r>
              <w:rPr>
                <w:rFonts w:ascii="Times New Roman" w:hAnsi="Times New Roman"/>
                <w:sz w:val="18"/>
              </w:rPr>
              <w:t>Terra–Luna</w:t>
            </w:r>
          </w:p>
        </w:tc>
        <w:tc>
          <w:tcPr>
            <w:tcW w:type="dxa" w:w="7200"/>
            <w:vAlign w:val="center"/>
            <w:tcMar>
              <w:top w:w="70" w:type="dxa"/>
              <w:start w:w="80" w:type="dxa"/>
              <w:bottom w:w="70" w:type="dxa"/>
              <w:end w:w="80" w:type="dxa"/>
            </w:tcMar>
          </w:tcPr>
          <w:p>
            <w:pPr>
              <w:spacing w:after="0"/>
            </w:pPr>
            <w:r>
              <w:rPr>
                <w:rFonts w:ascii="Times New Roman" w:hAnsi="Times New Roman"/>
                <w:sz w:val="18"/>
              </w:rPr>
              <w:t>Empirical illustration of modest overall contrast in a digital-asset setting.</w:t>
            </w:r>
          </w:p>
        </w:tc>
      </w:tr>
      <w:tr>
        <w:tc>
          <w:tcPr>
            <w:tcW w:type="dxa" w:w="2880"/>
            <w:vAlign w:val="center"/>
            <w:tcMar>
              <w:top w:w="70" w:type="dxa"/>
              <w:start w:w="80" w:type="dxa"/>
              <w:bottom w:w="70" w:type="dxa"/>
              <w:end w:w="80" w:type="dxa"/>
            </w:tcMar>
          </w:tcPr>
          <w:p>
            <w:pPr>
              <w:spacing w:after="0"/>
            </w:pPr>
            <w:r>
              <w:rPr>
                <w:rFonts w:ascii="Times New Roman" w:hAnsi="Times New Roman"/>
                <w:sz w:val="18"/>
              </w:rPr>
              <w:t>Fukushima</w:t>
            </w:r>
          </w:p>
        </w:tc>
        <w:tc>
          <w:tcPr>
            <w:tcW w:type="dxa" w:w="7200"/>
            <w:vAlign w:val="center"/>
            <w:tcMar>
              <w:top w:w="70" w:type="dxa"/>
              <w:start w:w="80" w:type="dxa"/>
              <w:bottom w:w="70" w:type="dxa"/>
              <w:end w:w="80" w:type="dxa"/>
            </w:tcMar>
          </w:tcPr>
          <w:p>
            <w:pPr>
              <w:spacing w:after="0"/>
            </w:pPr>
            <w:r>
              <w:rPr>
                <w:rFonts w:ascii="Times New Roman" w:hAnsi="Times New Roman"/>
                <w:sz w:val="18"/>
              </w:rPr>
              <w:t>Physical-disaster development case retained without new tuning.</w:t>
            </w:r>
          </w:p>
        </w:tc>
      </w:tr>
      <w:tr>
        <w:tc>
          <w:tcPr>
            <w:tcW w:type="dxa" w:w="2880"/>
            <w:vAlign w:val="center"/>
            <w:tcMar>
              <w:top w:w="70" w:type="dxa"/>
              <w:start w:w="80" w:type="dxa"/>
              <w:bottom w:w="70" w:type="dxa"/>
              <w:end w:w="80" w:type="dxa"/>
            </w:tcMar>
          </w:tcPr>
          <w:p>
            <w:pPr>
              <w:spacing w:after="0"/>
            </w:pPr>
            <w:r>
              <w:rPr>
                <w:rFonts w:ascii="Times New Roman" w:hAnsi="Times New Roman"/>
                <w:sz w:val="18"/>
              </w:rPr>
              <w:t>COVID-19</w:t>
            </w:r>
          </w:p>
        </w:tc>
        <w:tc>
          <w:tcPr>
            <w:tcW w:type="dxa" w:w="7200"/>
            <w:vAlign w:val="center"/>
            <w:tcMar>
              <w:top w:w="70" w:type="dxa"/>
              <w:start w:w="80" w:type="dxa"/>
              <w:bottom w:w="70" w:type="dxa"/>
              <w:end w:w="80" w:type="dxa"/>
            </w:tcMar>
          </w:tcPr>
          <w:p>
            <w:pPr>
              <w:spacing w:after="0"/>
            </w:pPr>
            <w:r>
              <w:rPr>
                <w:rFonts w:ascii="Times New Roman" w:hAnsi="Times New Roman"/>
                <w:sz w:val="18"/>
              </w:rPr>
              <w:t>Boundary illustration of baseline-sensitive ratio behavior.</w:t>
            </w:r>
          </w:p>
        </w:tc>
      </w:tr>
      <w:tr>
        <w:tc>
          <w:tcPr>
            <w:tcW w:type="dxa" w:w="2880"/>
            <w:vAlign w:val="center"/>
            <w:tcMar>
              <w:top w:w="70" w:type="dxa"/>
              <w:start w:w="80" w:type="dxa"/>
              <w:bottom w:w="70" w:type="dxa"/>
              <w:end w:w="80" w:type="dxa"/>
            </w:tcMar>
          </w:tcPr>
          <w:p>
            <w:pPr>
              <w:spacing w:after="0"/>
            </w:pPr>
            <w:r>
              <w:rPr>
                <w:rFonts w:ascii="Times New Roman" w:hAnsi="Times New Roman"/>
                <w:sz w:val="18"/>
              </w:rPr>
              <w:t>Global supply-chain disruption</w:t>
            </w:r>
          </w:p>
        </w:tc>
        <w:tc>
          <w:tcPr>
            <w:tcW w:type="dxa" w:w="7200"/>
            <w:vAlign w:val="center"/>
            <w:tcMar>
              <w:top w:w="70" w:type="dxa"/>
              <w:start w:w="80" w:type="dxa"/>
              <w:bottom w:w="70" w:type="dxa"/>
              <w:end w:w="80" w:type="dxa"/>
            </w:tcMar>
          </w:tcPr>
          <w:p>
            <w:r>
              <w:t>Boundary illustration of partial activation/high observed correlation and two-channel outperformance.</w:t>
            </w:r>
          </w:p>
        </w:tc>
      </w:tr>
    </w:tbl>
    <w:p>
      <w:pPr>
        <w:pStyle w:val="Heading1"/>
      </w:pPr>
      <w:r>
        <w:t>6. Frozen historical transfer</w:t>
      </w:r>
    </w:p>
    <w:p>
      <w:pPr>
        <w:pStyle w:val="Heading2"/>
      </w:pPr>
      <w:r>
        <w:t>6.1 Historical Holdout 1 — LTCM</w:t>
      </w:r>
    </w:p>
    <w:p>
      <w:r>
        <w:t>The previously frozen LTCM result is retained unchanged. Its original P99-based specification, seeds, outputs, golden baselines, and verifier remain part of the existing archive. It must not be retuned or replaced because the product did not rank first.</w:t>
      </w:r>
    </w:p>
    <w:p>
      <w:pPr>
        <w:pStyle w:val="Heading2"/>
      </w:pPr>
      <w:r>
        <w:t>6.2 Historical Holdout 2 — one new prespecified event</w:t>
      </w:r>
    </w:p>
    <w:p>
      <w:r>
        <w:t>One additional historical holdout will be selected under the separate Holdout-2 Eligibility Plan. The preferred template is a non-financial Japan-region earthquake/physical-disaster template derived from the existing Fukushima channel definitions, with the temporal-indexing and alignment rules prespecified before any holdout output is generated. This preserves the substantive channel mapping without fitting new weights or inventing a new domain mapping, but it is not described as a fully independent template because it was developed from the earlier Fukushima case. Candidate enumeration and event selection use metadata and data-availability checks only; no framework output may be computed before eligibility and selection are committed.</w:t>
      </w:r>
    </w:p>
    <w:p>
      <w:pPr>
        <w:pStyle w:val="ListBullet"/>
        <w:spacing w:after="40"/>
      </w:pPr>
      <w:r>
        <w:t>Candidate events must not have been analyzed previously in the project, appear in prior exploratory boundary outputs, or require an analysis window that overlaps the archived Fukushima development interval specified in the Holdout-2 plan.</w:t>
      </w:r>
    </w:p>
    <w:p>
      <w:pPr>
        <w:pStyle w:val="ListBullet"/>
        <w:spacing w:after="40"/>
      </w:pPr>
      <w:r>
        <w:t>The event/reference date must come from the external event catalog, not from maximizing the framework score.</w:t>
      </w:r>
    </w:p>
    <w:p>
      <w:pPr>
        <w:pStyle w:val="ListBullet"/>
        <w:spacing w:after="40"/>
      </w:pPr>
      <w:r>
        <w:t>If multiple events remain eligible, exactly one is selected by the frozen one-time random procedure. No result-dependent redraw is permitted.</w:t>
      </w:r>
    </w:p>
    <w:p>
      <w:pPr>
        <w:pStyle w:val="ListBullet"/>
        <w:spacing w:after="40"/>
      </w:pPr>
      <w:r>
        <w:t>The holdout is reported regardless of direction, magnitude, or operator ranking.</w:t>
      </w:r>
    </w:p>
    <w:p>
      <w:r>
        <w:t>The detailed domain template, candidate-universe query, eligibility rules, selection algorithm, windows, and no-fallback rules are frozen in the accompanying Holdout-2 Eligibility Plan.</w:t>
      </w:r>
    </w:p>
    <w:p>
      <w:pPr>
        <w:pStyle w:val="Heading1"/>
      </w:pPr>
      <w:r>
        <w:t>7. Reproducibility, random streams, and archiving</w:t>
      </w:r>
    </w:p>
    <w:p>
      <w:r>
        <w:t>The existing Zenodo archive and reproducibility snapshot remain intact. The v2 evaluation layer will be stored as a new linked version or record rather than overwriting prior frozen material.</w:t>
      </w:r>
    </w:p>
    <w:p>
      <w:pPr>
        <w:pStyle w:val="ListBullet"/>
        <w:spacing w:after="40"/>
      </w:pPr>
      <w:r>
        <w:t>Primary simulation master seed = 731001. Each alternative cell uses NumPy SeedSequence([731001, k_index, rho_index, delta_index, 1]); each matched-null stream uses SeedSequence([731001, 0, rho_index, 0, 0]). Indices follow the value order recorded in simulation_config_v2.json.</w:t>
      </w:r>
    </w:p>
    <w:p>
      <w:pPr>
        <w:pStyle w:val="ListBullet"/>
        <w:spacing w:after="40"/>
      </w:pPr>
      <w:r>
        <w:t>Random-number generator = NumPy Generator with PCG64. The same generated datasets are reused for the paired percentile-normalization analysis.</w:t>
      </w:r>
    </w:p>
    <w:p>
      <w:pPr>
        <w:pStyle w:val="ListBullet"/>
        <w:spacing w:after="40"/>
      </w:pPr>
      <w:r>
        <w:t>Holdout-2 event-draw master seed = 731006, with the exact draw algorithm fixed in the Holdout-2 Eligibility Plan.</w:t>
      </w:r>
    </w:p>
    <w:p>
      <w:pPr>
        <w:pStyle w:val="ListBullet"/>
        <w:spacing w:after="40"/>
      </w:pPr>
      <w:r>
        <w:t>Run v2 in a separate evaluation branch or equivalent isolated workflow; archive protocol/configuration files, source code, environment lock, summary outputs, hashes where practical, and a verifier/reproduction script.</w:t>
      </w:r>
    </w:p>
    <w:p>
      <w:pPr>
        <w:pStyle w:val="ListBullet"/>
        <w:spacing w:after="40"/>
      </w:pPr>
      <w:r>
        <w:t>Any post-freeze correction requires a dated addendum stating what changed, why, whether affected outputs had already been viewed, and whether evidential status changes. No amendment may be used to improve an unfavorable result after output inspection.</w:t>
      </w:r>
    </w:p>
    <w:p>
      <w:pPr>
        <w:pStyle w:val="Heading1"/>
      </w:pPr>
      <w:r>
        <w:t>8. Prespecified interpretation and freeze checklist</w:t>
      </w:r>
    </w:p>
    <w:p>
      <w:pPr>
        <w:pStyle w:val="ListBullet"/>
        <w:spacing w:after="40"/>
      </w:pPr>
      <w:r>
        <w:t>No operator will be described as universally superior.</w:t>
      </w:r>
    </w:p>
    <w:p>
      <w:pPr>
        <w:pStyle w:val="ListBullet"/>
        <w:spacing w:after="40"/>
      </w:pPr>
      <w:r>
        <w:t>A product advantage limited to broad activation or lower-dependence regimes will be reported as a boundary-conditioned property.</w:t>
      </w:r>
    </w:p>
    <w:p>
      <w:pPr>
        <w:pStyle w:val="ListBullet"/>
        <w:spacing w:after="40"/>
      </w:pPr>
      <w:r>
        <w:t>Weak or adverse product performance will be retained and interpreted as evidence about the operating boundary, not repaired by changing the model.</w:t>
      </w:r>
    </w:p>
    <w:p>
      <w:pPr>
        <w:pStyle w:val="ListBullet"/>
        <w:spacing w:after="40"/>
      </w:pPr>
      <w:r>
        <w:t>Normalization disagreement will be reported as normalization dependence rather than resolved by selecting the more favorable specification.</w:t>
      </w:r>
    </w:p>
    <w:p>
      <w:pPr>
        <w:pStyle w:val="ListBullet"/>
        <w:spacing w:after="40"/>
      </w:pPr>
      <w:r>
        <w:t>Simulation findings will not be presented as proof of a common causal mechanism behind the historical crises.</w:t>
      </w:r>
    </w:p>
    <w:p>
      <w:pPr>
        <w:pStyle w:val="ListBullet"/>
        <w:spacing w:after="40"/>
      </w:pPr>
      <w:r>
        <w:t>Historical holdouts remain retrospective and do not establish prospective forecasting performance. Holdout 2 uses output-blind event selection within a development-informed physical-disaster template: the random draw strengthens independence of event nomination, but it does not make the inherited template itself independent of prior development work.</w:t>
      </w:r>
    </w:p>
    <w:p>
      <w:pPr>
        <w:pStyle w:val="Heading2"/>
      </w:pPr>
      <w:r>
        <w:t>Freeze checklist</w:t>
      </w:r>
    </w:p>
    <w:p>
      <w:r>
        <w:t>☐ RQ1–RQ2 and simplified scope finalized</w:t>
      </w:r>
    </w:p>
    <w:p>
      <w:r>
        <w:t>☐ Simulation DGP, grid, burn-in, calibration rule, stress interval, summaries, and random-stream rule finalized</w:t>
      </w:r>
    </w:p>
    <w:p>
      <w:r>
        <w:t>☐ Primary P99 and supplementary empirical-percentile definitions finalized</w:t>
      </w:r>
    </w:p>
    <w:p>
      <w:r>
        <w:t>☐ Holdout-2 domain template, candidate-universe procedure, eligibility rules, and draw algorithm finalized</w:t>
      </w:r>
    </w:p>
    <w:p>
      <w:r>
        <w:t>☐ Existing development archive tagged and preserved</w:t>
      </w:r>
    </w:p>
    <w:p>
      <w:r>
        <w:t>☐ Protocol, simulation_config_v2.json, and Holdout-2 plan commit hashes recorded</w:t>
      </w:r>
    </w:p>
    <w:p>
      <w:r>
        <w:t>☐ No new v2 analytical output inspected before freeze</w:t>
      </w:r>
    </w:p>
    <w:p>
      <w:r>
        <w:rPr>
          <w:b/>
        </w:rPr>
        <w:t xml:space="preserve">Freeze declaration: </w:t>
      </w:r>
      <w:r>
        <w:t>“I confirm that the above design and analysis rules were fixed before inspection of v2 analytical outputs. Any later deviation will be documented in a dated amendment.”</w:t>
      </w:r>
    </w:p>
    <w:p>
      <w:r>
        <w:rPr>
          <w:b/>
        </w:rPr>
        <w:t xml:space="preserve">Protocol note. </w:t>
      </w:r>
      <w:r>
        <w:t>This v2 plan governs only the new controlled-evaluation layer. It does not retroactively alter the evidential status of the five retrospective development cases or the previously frozen LTCM historical holdout.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PROTOCOL v2 — FINAL PRE-FREEZE EVALUATION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