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TWO</w:t>
      </w:r>
    </w:p>
    <w:p>
      <w:pPr>
        <w:jc w:val="center"/>
      </w:pPr>
      <w:r>
        <w:rPr>
          <w:b/>
          <w:sz w:val="28"/>
        </w:rPr>
        <w:t>LITERATURE REVIEW AND RELATED WORK</w:t>
      </w:r>
    </w:p>
    <w:p/>
    <w:p>
      <w:pPr>
        <w:spacing w:before="240" w:after="80"/>
      </w:pPr>
      <w:r>
        <w:rPr>
          <w:b/>
          <w:sz w:val="26"/>
        </w:rPr>
        <w:t>2.0 Introduction</w:t>
      </w:r>
    </w:p>
    <w:p>
      <w:pPr>
        <w:spacing w:line="360" w:lineRule="auto" w:after="120"/>
        <w:ind w:firstLine="432"/>
      </w:pPr>
      <w:r>
        <w:t>This chapter reviews established and emerging literature on child vaccination tracking systems, multi-branch record continuity, verification mechanisms, and health technology adoption models. The review positions the Child Vaccination Command Center (CVCC) within current evidence and identifies practical gaps that the prototype addresses.</w:t>
      </w:r>
    </w:p>
    <w:p>
      <w:pPr>
        <w:spacing w:before="240" w:after="80"/>
      </w:pPr>
      <w:r>
        <w:rPr>
          <w:b/>
          <w:sz w:val="26"/>
        </w:rPr>
        <w:t>2.1 Immunization Coverage and Monitoring</w:t>
      </w:r>
    </w:p>
    <w:p>
      <w:pPr>
        <w:spacing w:line="360" w:lineRule="auto" w:after="120"/>
        <w:ind w:firstLine="432"/>
      </w:pPr>
      <w:r>
        <w:t>International evidence shows that routine immunization remains uneven across locations, and aggregate national indicators may hide subnational service gaps [1], [2], [3]. This means local facility and outreach visibility are essential for preventing children from becoming overdue or zero-dose.</w:t>
      </w:r>
    </w:p>
    <w:p>
      <w:pPr>
        <w:spacing w:line="360" w:lineRule="auto" w:after="120"/>
        <w:ind w:firstLine="432"/>
      </w:pPr>
      <w:r>
        <w:t>Therefore, modern immunization systems are expected to support both operational service delivery and strategic monitoring so that missed children can be identified early and followed up effectively [1], [2], [3].</w:t>
      </w:r>
    </w:p>
    <w:p>
      <w:pPr>
        <w:spacing w:before="240" w:after="80"/>
      </w:pPr>
      <w:r>
        <w:rPr>
          <w:b/>
          <w:sz w:val="26"/>
        </w:rPr>
        <w:t>2.2 Evolution of Vaccination Record Keeping</w:t>
      </w:r>
    </w:p>
    <w:p>
      <w:pPr>
        <w:spacing w:line="360" w:lineRule="auto" w:after="120"/>
        <w:ind w:firstLine="432"/>
      </w:pPr>
      <w:r>
        <w:t>Traditional paper cards and register books remain common in low-resource care settings because they are accessible and inexpensive. However, paper workflows are prone to damage, missing pages, readability issues, and poor cross-facility availability [4].</w:t>
      </w:r>
    </w:p>
    <w:p>
      <w:pPr>
        <w:spacing w:line="360" w:lineRule="auto" w:after="120"/>
        <w:ind w:firstLine="432"/>
      </w:pPr>
      <w:r>
        <w:t>Digital transition has introduced Electronic Immunization Registry (EIR) models and related health information tools. Their impact depends not only on technology but also on workflow fit, infrastructure reliability, and consistent frontline adoption [2], [8].</w:t>
      </w:r>
    </w:p>
    <w:p>
      <w:pPr>
        <w:spacing w:before="240" w:after="80"/>
      </w:pPr>
      <w:r>
        <w:rPr>
          <w:b/>
          <w:sz w:val="26"/>
        </w:rPr>
        <w:t>2.3 Categories of Digital Immunization Systems</w:t>
      </w:r>
    </w:p>
    <w:p>
      <w:pPr>
        <w:pStyle w:val="ListBullet"/>
        <w:spacing w:line="360" w:lineRule="auto" w:after="60"/>
        <w:ind w:left="432"/>
      </w:pPr>
      <w:r>
        <w:t>Electronic Immunization Registry (EIR) systems: centralized child-level records for monitoring, follow-up, and reporting [2], [8].</w:t>
      </w:r>
    </w:p>
    <w:p>
      <w:pPr>
        <w:pStyle w:val="ListBullet"/>
        <w:spacing w:line="360" w:lineRule="auto" w:after="60"/>
        <w:ind w:left="432"/>
      </w:pPr>
      <w:r>
        <w:t>District Health Information Software 2 (DHIS2) Tracker implementations: individual event and longitudinal tracking modules with configurable programs [8].</w:t>
      </w:r>
    </w:p>
    <w:p>
      <w:pPr>
        <w:pStyle w:val="ListBullet"/>
        <w:spacing w:line="360" w:lineRule="auto" w:after="60"/>
        <w:ind w:left="432"/>
      </w:pPr>
      <w:r>
        <w:t>Mobile reminder systems: Short Message Service (SMS) and app notifications to improve attendance and dose completion [1], [2].</w:t>
      </w:r>
    </w:p>
    <w:p>
      <w:pPr>
        <w:pStyle w:val="ListBullet"/>
        <w:spacing w:line="360" w:lineRule="auto" w:after="60"/>
        <w:ind w:left="432"/>
      </w:pPr>
      <w:r>
        <w:t>Quick Response (QR) and digital certificate systems: fast identity retrieval and verifiable proof workflows [23], [24], [25].</w:t>
      </w:r>
    </w:p>
    <w:p>
      <w:pPr>
        <w:spacing w:before="240" w:after="80"/>
      </w:pPr>
      <w:r>
        <w:rPr>
          <w:b/>
          <w:sz w:val="26"/>
        </w:rPr>
        <w:t>2.4 Technology Adoption Foundations</w:t>
      </w:r>
    </w:p>
    <w:p>
      <w:pPr>
        <w:spacing w:line="360" w:lineRule="auto" w:after="120"/>
        <w:ind w:firstLine="432"/>
      </w:pPr>
      <w:r>
        <w:t>The Technology Acceptance Model (TAM) explains adoption through perceived usefulness and perceived ease of use [5]. In immunization settings, this implies that systems must save time and reduce complexity for nurses and support staff.</w:t>
      </w:r>
    </w:p>
    <w:p>
      <w:pPr>
        <w:spacing w:line="360" w:lineRule="auto" w:after="120"/>
        <w:ind w:firstLine="432"/>
      </w:pPr>
      <w:r>
        <w:t>The Unified Theory of Acceptance and Use of Technology (UTAUT) extends this perspective with performance expectancy, effort expectancy, social influence, and facilitating conditions [6]. These dimensions are highly relevant where hardware access, connectivity, and training support vary by branch.</w:t>
      </w:r>
    </w:p>
    <w:p>
      <w:pPr>
        <w:spacing w:line="360" w:lineRule="auto" w:after="120"/>
        <w:ind w:firstLine="432"/>
      </w:pPr>
      <w:r>
        <w:t>The Reach, Effectiveness, Adoption, Implementation, and Maintenance (RE-AIM) framework supports evaluation of scalability and long-term sustainability beyond pilot success [7].</w:t>
      </w:r>
    </w:p>
    <w:p>
      <w:pPr>
        <w:spacing w:before="240" w:after="80"/>
      </w:pPr>
      <w:r>
        <w:rPr>
          <w:b/>
          <w:sz w:val="26"/>
        </w:rPr>
        <w:t>2.5 Security, Privacy, and Trust</w:t>
      </w:r>
    </w:p>
    <w:p>
      <w:pPr>
        <w:spacing w:line="360" w:lineRule="auto" w:after="120"/>
        <w:ind w:firstLine="432"/>
      </w:pPr>
      <w:r>
        <w:t>Child health records are sensitive and require controlled access, secure authentication, and traceable actions. Secure system design commonly combines Role-Based Access Control (RBAC), encrypted transport, and controlled token handling such as Json Web Token (JWT) session enforcement [19], [20].</w:t>
      </w:r>
    </w:p>
    <w:p>
      <w:pPr>
        <w:spacing w:line="360" w:lineRule="auto" w:after="120"/>
        <w:ind w:firstLine="432"/>
      </w:pPr>
      <w:r>
        <w:t>Trust in vaccination evidence is strengthened when certificate verification confirms authenticity without unnecessary disclosure of private data [19], [20].</w:t>
      </w:r>
    </w:p>
    <w:p>
      <w:pPr>
        <w:spacing w:before="240" w:after="80"/>
      </w:pPr>
      <w:r>
        <w:rPr>
          <w:b/>
          <w:sz w:val="26"/>
        </w:rPr>
        <w:t>2.6 Methods Alignment With This Project</w:t>
      </w:r>
    </w:p>
    <w:p>
      <w:pPr>
        <w:spacing w:line="360" w:lineRule="auto" w:after="120"/>
        <w:ind w:firstLine="432"/>
      </w:pPr>
      <w:r>
        <w:t>As in Chapter Three, the evidence synthesis for this project used a semi-structured questionnaire approach. Interview questions were asked through phone calls with nurses to capture practical clinical and outreach constraints in their own words. This was combined with online research across policy guidance, technical references, and related digital immunization literature [1], [2], [8], [30].</w:t>
      </w:r>
    </w:p>
    <w:p>
      <w:pPr>
        <w:spacing w:line="360" w:lineRule="auto" w:after="120"/>
        <w:ind w:firstLine="432"/>
      </w:pPr>
      <w:r>
        <w:t>The combination of phone interviews and online evidence review improved contextual relevance. It ensured that design choices reflected real workflow conditions rather than generic system assumptions [30].</w:t>
      </w:r>
    </w:p>
    <w:p>
      <w:pPr>
        <w:spacing w:before="240" w:after="80"/>
      </w:pPr>
      <w:r>
        <w:rPr>
          <w:b/>
          <w:sz w:val="26"/>
        </w:rPr>
        <w:t>2.7 Research Gap and Positioning of CVCC</w:t>
      </w:r>
    </w:p>
    <w:p>
      <w:pPr>
        <w:spacing w:line="360" w:lineRule="auto" w:after="120"/>
        <w:ind w:firstLine="432"/>
      </w:pPr>
      <w:r>
        <w:t>The literature confirms that digital immunization tools exist, but common implementation gaps remain in integrated frontline usability, caregiver self-service, and cross-branch continuity. Many systems are either reporting-centric or incomplete for routine nurse and Community Health Worker (CHW) operations [1], [2], [8].</w:t>
      </w:r>
    </w:p>
    <w:p>
      <w:pPr>
        <w:spacing w:line="360" w:lineRule="auto" w:after="120"/>
        <w:ind w:firstLine="432"/>
      </w:pPr>
      <w:r>
        <w:t>The CVCC prototype addresses this gap by combining facility workflow support, caregiver tracking, QR-based verification, and offline outreach synchronization in one coordinated platform. It aligns operational and supervisory needs while remaining realistic for incremental deployment.</w:t>
      </w:r>
    </w:p>
    <w:p>
      <w:pPr>
        <w:spacing w:before="240" w:after="80"/>
      </w:pPr>
      <w:r>
        <w:rPr>
          <w:b/>
          <w:sz w:val="26"/>
        </w:rPr>
        <w:t>2.8 Chapter Summary</w:t>
      </w:r>
    </w:p>
    <w:p>
      <w:pPr>
        <w:spacing w:line="360" w:lineRule="auto" w:after="120"/>
        <w:ind w:firstLine="432"/>
      </w:pPr>
      <w:r>
        <w:t>Chapter Two establishes the theoretical and practical basis for the project. It confirms the importance of child-level continuity, secure verification, and adoption-aware design. These findings directly inform the methodology and implementation decisions documented in Chapter Three.</w:t>
      </w:r>
    </w:p>
    <w:p>
      <w:pPr>
        <w:spacing w:before="240" w:after="0"/>
      </w:pPr>
      <w:r>
        <w:rPr>
          <w:i/>
        </w:rPr>
        <w:t>Note: All references cited in this chapter are consolidated in CHAPTER FIVE REFERENCES.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