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CHAPTER FIVE</w:t>
      </w:r>
    </w:p>
    <w:p>
      <w:pPr>
        <w:jc w:val="center"/>
      </w:pPr>
      <w:r>
        <w:rPr>
          <w:b/>
          <w:sz w:val="28"/>
        </w:rPr>
        <w:t>REFERENCES</w:t>
      </w:r>
    </w:p>
    <w:p/>
    <w:p>
      <w:pPr>
        <w:spacing w:line="360" w:lineRule="auto" w:after="120"/>
        <w:ind w:firstLine="432"/>
      </w:pPr>
      <w:r>
        <w:t>This chapter consolidates all references cited across Chapter One, Chapter Two, and Chapter Three using Institute of Electrical and Electronics Engineers (IEEE) citation formatting.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[1] </w:t>
      </w:r>
      <w:r>
        <w:rPr>
          <w:b w:val="0"/>
        </w:rPr>
        <w:t>World Health Organization, "Immunization coverage," 2025. [Online]. Available: https://www.who.int/news-room/fact-sheets/detail/immunization-coverage.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[2] </w:t>
      </w:r>
      <w:r>
        <w:rPr>
          <w:b w:val="0"/>
        </w:rPr>
        <w:t>World Health Organization, "Immunization Agenda 2030: A global strategy to leave no one behind," 2020. [Online]. Available: https://www.who.int/initiatives/immunization-agenda-2030.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[3] </w:t>
      </w:r>
      <w:r>
        <w:rPr>
          <w:b w:val="0"/>
        </w:rPr>
        <w:t>United Nations Children's Fund, "The State of the World's Children: For every child, vaccination," 2023. [Online]. Available: https://www.unicef.org/reports/state-worlds-children.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[4] </w:t>
      </w:r>
      <w:r>
        <w:rPr>
          <w:b w:val="0"/>
        </w:rPr>
        <w:t>Ghana Health Service, "Expanded Programme on Immunization operational guidance," Accra, Ghana, 2024.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[5] </w:t>
      </w:r>
      <w:r>
        <w:rPr>
          <w:b w:val="0"/>
        </w:rPr>
        <w:t>F. D. Davis, "Perceived usefulness, perceived ease of use, and user acceptance of information technology," MIS Quarterly, vol. 13, no. 3, pp. 319-340, 1989.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[6] </w:t>
      </w:r>
      <w:r>
        <w:rPr>
          <w:b w:val="0"/>
        </w:rPr>
        <w:t>V. Venkatesh, M. G. Morris, G. B. Davis, and F. D. Davis, "User acceptance of information technology: Toward a unified view," MIS Quarterly, vol. 27, no. 3, pp. 425-478, 2003.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[7] </w:t>
      </w:r>
      <w:r>
        <w:rPr>
          <w:b w:val="0"/>
        </w:rPr>
        <w:t>A. Glasgow, T. Vogt, and S. Boles, "Evaluating the public health impact of health promotion interventions: The RE-AIM framework," American Journal of Public Health, vol. 89, no. 9, pp. 1322-1327, 1999.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[8] </w:t>
      </w:r>
      <w:r>
        <w:rPr>
          <w:b w:val="0"/>
        </w:rPr>
        <w:t>DHIS2, "Tracker and Event Program documentation," 2025. [Online]. Available: https://docs.dhis2.org.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[9] </w:t>
      </w:r>
      <w:r>
        <w:rPr>
          <w:b w:val="0"/>
        </w:rPr>
        <w:t>K. Beck et al., "Manifesto for Agile Software Development," 2001. [Online]. Available: https://agilemanifesto.org.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[10] </w:t>
      </w:r>
      <w:r>
        <w:rPr>
          <w:b w:val="0"/>
        </w:rPr>
        <w:t>K. Schwaber and J. Sutherland, "The Scrum Guide," 2020. [Online]. Available: https://scrumguides.org.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[11] </w:t>
      </w:r>
      <w:r>
        <w:rPr>
          <w:b w:val="0"/>
        </w:rPr>
        <w:t>Vercel, "Next.js documentation," 2025. [Online]. Available: https://nextjs.org/docs.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[12] </w:t>
      </w:r>
      <w:r>
        <w:rPr>
          <w:b w:val="0"/>
        </w:rPr>
        <w:t>Meta Open Source, "React documentation," 2025. [Online]. Available: https://react.dev.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[13] </w:t>
      </w:r>
      <w:r>
        <w:rPr>
          <w:b w:val="0"/>
        </w:rPr>
        <w:t>NestJS Core Team, "NestJS documentation," 2025. [Online]. Available: https://docs.nestjs.com.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[14] </w:t>
      </w:r>
      <w:r>
        <w:rPr>
          <w:b w:val="0"/>
        </w:rPr>
        <w:t>Supabase Inc., "Supabase documentation," 2025. [Online]. Available: https://supabase.com/docs.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[15] </w:t>
      </w:r>
      <w:r>
        <w:rPr>
          <w:b w:val="0"/>
        </w:rPr>
        <w:t>PostgreSQL Global Development Group, "PostgreSQL documentation," 2025. [Online]. Available: https://www.postgresql.org/docs.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[16] </w:t>
      </w:r>
      <w:r>
        <w:rPr>
          <w:b w:val="0"/>
        </w:rPr>
        <w:t>D. Fahlander, "Dexie.js documentation," 2025. [Online]. Available: https://dexie.org/docs.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[17] </w:t>
      </w:r>
      <w:r>
        <w:rPr>
          <w:b w:val="0"/>
        </w:rPr>
        <w:t>W3C, "Indexed Database API 3.0," 2022. [Online]. Available: https://www.w3.org/TR/IndexedDB.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[18] </w:t>
      </w:r>
      <w:r>
        <w:rPr>
          <w:b w:val="0"/>
        </w:rPr>
        <w:t>Google, "Progressive Web Applications," 2025. [Online]. Available: https://web.dev/progressive-web-apps.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[19] </w:t>
      </w:r>
      <w:r>
        <w:rPr>
          <w:b w:val="0"/>
        </w:rPr>
        <w:t>National Institute of Standards and Technology, "Advanced Encryption Standard (AES)," FIPS PUB 197, 2001.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[20] </w:t>
      </w:r>
      <w:r>
        <w:rPr>
          <w:b w:val="0"/>
        </w:rPr>
        <w:t>M. Jones, J. Bradley, and N. Sakimura, "Json Web Token (JWT)," IETF RFC 7519, 2015.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[21] </w:t>
      </w:r>
      <w:r>
        <w:rPr>
          <w:b w:val="0"/>
        </w:rPr>
        <w:t>Hubtel, "Hubtel SMS API documentation," 2025. [Online]. Available: https://developers.hubtel.com.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[22] </w:t>
      </w:r>
      <w:r>
        <w:rPr>
          <w:b w:val="0"/>
        </w:rPr>
        <w:t>Brevo, "Brevo Transactional Email API documentation," 2025. [Online]. Available: https://developers.brevo.com.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[23] </w:t>
      </w:r>
      <w:r>
        <w:rPr>
          <w:b w:val="0"/>
        </w:rPr>
        <w:t>M. Dhar, "html5-qrcode," 2025. [Online]. Available: https://github.com/mebjas/html5-qrcode.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[24] </w:t>
      </w:r>
      <w:r>
        <w:rPr>
          <w:b w:val="0"/>
        </w:rPr>
        <w:t>MrRio, "jsPDF documentation," 2025. [Online]. Available: https://github.com/parallax/jsPDF.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[25] </w:t>
      </w:r>
      <w:r>
        <w:rPr>
          <w:b w:val="0"/>
        </w:rPr>
        <w:t>U. Khan, "qrcode.react," 2025. [Online]. Available: https://github.com/zpao/qrcode.react.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[26] </w:t>
      </w:r>
      <w:r>
        <w:rPr>
          <w:b w:val="0"/>
        </w:rPr>
        <w:t>V. Agafonkin, "Leaflet documentation," 2025. [Online]. Available: https://leafletjs.com.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[27] </w:t>
      </w:r>
      <w:r>
        <w:rPr>
          <w:b w:val="0"/>
        </w:rPr>
        <w:t>OpenStreetMap Foundation, "OpenStreetMap," 2025. [Online]. Available: https://www.openstreetmap.org.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[28] </w:t>
      </w:r>
      <w:r>
        <w:rPr>
          <w:b w:val="0"/>
        </w:rPr>
        <w:t>PostGIS Development Team, "PostGIS documentation," 2025. [Online]. Available: https://postgis.net/documentation.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[29] </w:t>
      </w:r>
      <w:r>
        <w:rPr>
          <w:b w:val="0"/>
        </w:rPr>
        <w:t>TypeStack, "class-validator documentation," 2025. [Online]. Available: https://github.com/typestack/class-validator. [Accessed: Apr. 10, 2026].</w:t>
      </w:r>
    </w:p>
    <w:p>
      <w:pPr>
        <w:spacing w:after="100" w:line="312" w:lineRule="auto"/>
        <w:ind w:left="576" w:hanging="576"/>
      </w:pPr>
      <w:r>
        <w:rPr>
          <w:b/>
        </w:rPr>
        <w:t xml:space="preserve">[30] </w:t>
      </w:r>
      <w:r>
        <w:rPr>
          <w:b w:val="0"/>
        </w:rPr>
        <w:t>I. Seidman, Interviewing as Qualitative Research: A Guide for Researchers in Education and the Social Sciences, 4th ed. New York, NY, USA: Teachers College Press, 2013.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