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46" w:type="dxa"/>
        <w:tblLayout w:type="fixed"/>
        <w:tblLook w:val="04A0" w:firstRow="1" w:lastRow="0" w:firstColumn="1" w:lastColumn="0" w:noHBand="0" w:noVBand="1"/>
      </w:tblPr>
      <w:tblGrid>
        <w:gridCol w:w="1134"/>
        <w:gridCol w:w="3343"/>
        <w:gridCol w:w="1664"/>
        <w:gridCol w:w="1829"/>
        <w:gridCol w:w="2352"/>
        <w:gridCol w:w="24"/>
      </w:tblGrid>
      <w:tr w:rsidR="008B16E8" w:rsidRPr="00AC010D" w:rsidTr="00B8715B">
        <w:trPr>
          <w:trHeight w:val="570"/>
        </w:trPr>
        <w:tc>
          <w:tcPr>
            <w:tcW w:w="10346" w:type="dxa"/>
            <w:gridSpan w:val="6"/>
            <w:tcBorders>
              <w:top w:val="nil"/>
              <w:left w:val="nil"/>
              <w:bottom w:val="single" w:sz="8" w:space="0" w:color="auto"/>
              <w:right w:val="nil"/>
            </w:tcBorders>
            <w:shd w:val="clear" w:color="auto" w:fill="auto"/>
            <w:vAlign w:val="center"/>
          </w:tcPr>
          <w:p w:rsidR="008B16E8" w:rsidRPr="008B16E8" w:rsidRDefault="008B16E8" w:rsidP="008B16E8">
            <w:pPr>
              <w:pStyle w:val="Heading3"/>
              <w:ind w:hanging="20"/>
              <w:rPr>
                <w:b/>
              </w:rPr>
            </w:pPr>
            <w:bookmarkStart w:id="0" w:name="_GoBack"/>
            <w:r w:rsidRPr="008B16E8">
              <w:rPr>
                <w:b/>
              </w:rPr>
              <w:t>Parameters of the leaf model</w:t>
            </w:r>
            <w:bookmarkEnd w:id="0"/>
          </w:p>
        </w:tc>
      </w:tr>
      <w:tr w:rsidR="008B16E8" w:rsidRPr="00AC010D" w:rsidTr="00B8715B">
        <w:trPr>
          <w:gridAfter w:val="1"/>
          <w:wAfter w:w="24" w:type="dxa"/>
          <w:trHeight w:val="570"/>
        </w:trPr>
        <w:tc>
          <w:tcPr>
            <w:tcW w:w="1134" w:type="dxa"/>
            <w:tcBorders>
              <w:top w:val="nil"/>
              <w:left w:val="nil"/>
              <w:bottom w:val="single" w:sz="8" w:space="0" w:color="auto"/>
              <w:right w:val="nil"/>
            </w:tcBorders>
            <w:shd w:val="clear" w:color="auto" w:fill="auto"/>
            <w:vAlign w:val="center"/>
            <w:hideMark/>
          </w:tcPr>
          <w:p w:rsidR="008B16E8" w:rsidRPr="00AC010D" w:rsidRDefault="008B16E8" w:rsidP="00B8715B">
            <w:pPr>
              <w:spacing w:line="240" w:lineRule="auto"/>
              <w:ind w:firstLine="43"/>
              <w:rPr>
                <w:b/>
                <w:bCs/>
                <w:color w:val="000000"/>
                <w:szCs w:val="24"/>
              </w:rPr>
            </w:pPr>
            <w:r w:rsidRPr="00AC010D">
              <w:rPr>
                <w:b/>
                <w:bCs/>
                <w:color w:val="000000"/>
                <w:szCs w:val="24"/>
              </w:rPr>
              <w:t>Symbol</w:t>
            </w:r>
          </w:p>
        </w:tc>
        <w:tc>
          <w:tcPr>
            <w:tcW w:w="3343" w:type="dxa"/>
            <w:tcBorders>
              <w:top w:val="nil"/>
              <w:left w:val="nil"/>
              <w:bottom w:val="single" w:sz="8" w:space="0" w:color="auto"/>
              <w:right w:val="nil"/>
            </w:tcBorders>
            <w:shd w:val="clear" w:color="auto" w:fill="auto"/>
            <w:vAlign w:val="center"/>
            <w:hideMark/>
          </w:tcPr>
          <w:p w:rsidR="008B16E8" w:rsidRPr="00AC010D" w:rsidRDefault="008B16E8" w:rsidP="00B8715B">
            <w:pPr>
              <w:spacing w:line="240" w:lineRule="auto"/>
              <w:rPr>
                <w:b/>
                <w:bCs/>
                <w:color w:val="000000"/>
                <w:szCs w:val="24"/>
              </w:rPr>
            </w:pPr>
            <w:r w:rsidRPr="00AC010D">
              <w:rPr>
                <w:b/>
                <w:bCs/>
                <w:color w:val="000000"/>
                <w:szCs w:val="24"/>
              </w:rPr>
              <w:t>Description</w:t>
            </w:r>
          </w:p>
        </w:tc>
        <w:tc>
          <w:tcPr>
            <w:tcW w:w="1664" w:type="dxa"/>
            <w:tcBorders>
              <w:top w:val="nil"/>
              <w:left w:val="nil"/>
              <w:bottom w:val="single" w:sz="8" w:space="0" w:color="auto"/>
              <w:right w:val="nil"/>
            </w:tcBorders>
            <w:shd w:val="clear" w:color="auto" w:fill="auto"/>
            <w:vAlign w:val="center"/>
            <w:hideMark/>
          </w:tcPr>
          <w:p w:rsidR="008B16E8" w:rsidRPr="00AC010D" w:rsidRDefault="008B16E8" w:rsidP="00B8715B">
            <w:pPr>
              <w:spacing w:line="240" w:lineRule="auto"/>
              <w:jc w:val="center"/>
              <w:rPr>
                <w:b/>
                <w:bCs/>
                <w:color w:val="000000"/>
                <w:szCs w:val="24"/>
              </w:rPr>
            </w:pPr>
            <w:r w:rsidRPr="00AC010D">
              <w:rPr>
                <w:b/>
                <w:bCs/>
                <w:color w:val="000000"/>
                <w:szCs w:val="24"/>
              </w:rPr>
              <w:t>Units</w:t>
            </w:r>
          </w:p>
        </w:tc>
        <w:tc>
          <w:tcPr>
            <w:tcW w:w="1829" w:type="dxa"/>
            <w:tcBorders>
              <w:top w:val="nil"/>
              <w:left w:val="nil"/>
              <w:bottom w:val="single" w:sz="8" w:space="0" w:color="auto"/>
              <w:right w:val="nil"/>
            </w:tcBorders>
            <w:shd w:val="clear" w:color="auto" w:fill="auto"/>
            <w:vAlign w:val="center"/>
            <w:hideMark/>
          </w:tcPr>
          <w:p w:rsidR="008B16E8" w:rsidRPr="00AC010D" w:rsidRDefault="008B16E8" w:rsidP="00B8715B">
            <w:pPr>
              <w:spacing w:line="240" w:lineRule="auto"/>
              <w:jc w:val="center"/>
              <w:rPr>
                <w:b/>
                <w:bCs/>
                <w:color w:val="000000"/>
                <w:szCs w:val="24"/>
              </w:rPr>
            </w:pPr>
            <w:r w:rsidRPr="00AC010D">
              <w:rPr>
                <w:b/>
                <w:bCs/>
                <w:color w:val="000000"/>
                <w:szCs w:val="24"/>
              </w:rPr>
              <w:t>Value</w:t>
            </w:r>
          </w:p>
        </w:tc>
        <w:tc>
          <w:tcPr>
            <w:tcW w:w="2352" w:type="dxa"/>
            <w:tcBorders>
              <w:top w:val="nil"/>
              <w:left w:val="nil"/>
              <w:bottom w:val="single" w:sz="8" w:space="0" w:color="auto"/>
              <w:right w:val="nil"/>
            </w:tcBorders>
            <w:shd w:val="clear" w:color="auto" w:fill="auto"/>
            <w:vAlign w:val="center"/>
            <w:hideMark/>
          </w:tcPr>
          <w:p w:rsidR="008B16E8" w:rsidRPr="00AC010D" w:rsidRDefault="008B16E8" w:rsidP="00B8715B">
            <w:pPr>
              <w:spacing w:line="240" w:lineRule="auto"/>
              <w:rPr>
                <w:b/>
                <w:bCs/>
                <w:color w:val="000000"/>
                <w:szCs w:val="24"/>
              </w:rPr>
            </w:pPr>
            <w:r w:rsidRPr="00AC010D">
              <w:rPr>
                <w:b/>
                <w:bCs/>
                <w:color w:val="000000"/>
                <w:szCs w:val="24"/>
              </w:rPr>
              <w:t>Source</w:t>
            </w:r>
          </w:p>
        </w:tc>
      </w:tr>
      <w:tr w:rsidR="008B16E8" w:rsidRPr="00AC010D" w:rsidTr="00B8715B">
        <w:trPr>
          <w:gridAfter w:val="1"/>
          <w:wAfter w:w="24" w:type="dxa"/>
          <w:trHeight w:val="570"/>
        </w:trPr>
        <w:tc>
          <w:tcPr>
            <w:tcW w:w="1134" w:type="dxa"/>
            <w:tcBorders>
              <w:top w:val="nil"/>
              <w:left w:val="nil"/>
              <w:bottom w:val="nil"/>
              <w:right w:val="nil"/>
            </w:tcBorders>
            <w:shd w:val="clear" w:color="auto" w:fill="auto"/>
            <w:vAlign w:val="center"/>
            <w:hideMark/>
          </w:tcPr>
          <w:p w:rsidR="008B16E8" w:rsidRPr="00B80C40" w:rsidRDefault="008B16E8" w:rsidP="00B8715B">
            <w:pPr>
              <w:spacing w:line="240" w:lineRule="auto"/>
              <w:ind w:hanging="19"/>
              <w:rPr>
                <w:i/>
                <w:color w:val="000000"/>
                <w:szCs w:val="24"/>
              </w:rPr>
            </w:pPr>
            <w:r w:rsidRPr="00B80C40">
              <w:rPr>
                <w:i/>
                <w:color w:val="000000"/>
                <w:szCs w:val="24"/>
              </w:rPr>
              <w:t>a</w:t>
            </w:r>
            <w:r w:rsidRPr="00B80C40">
              <w:rPr>
                <w:i/>
                <w:color w:val="000000"/>
                <w:szCs w:val="24"/>
                <w:vertAlign w:val="subscript"/>
              </w:rPr>
              <w:t>1</w:t>
            </w:r>
          </w:p>
        </w:tc>
        <w:tc>
          <w:tcPr>
            <w:tcW w:w="3343"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35"/>
              <w:rPr>
                <w:color w:val="000000"/>
                <w:szCs w:val="24"/>
              </w:rPr>
            </w:pPr>
            <w:r w:rsidRPr="00AC010D">
              <w:rPr>
                <w:color w:val="000000"/>
                <w:szCs w:val="24"/>
              </w:rPr>
              <w:t>plant biochemical parameter, in case of Rubisco limited photosynthesis, it is the maximum carboxylation capacity  (</w:t>
            </w:r>
            <w:proofErr w:type="spellStart"/>
            <w:r w:rsidRPr="00AC010D">
              <w:rPr>
                <w:color w:val="000000"/>
                <w:szCs w:val="24"/>
              </w:rPr>
              <w:t>Vc,max</w:t>
            </w:r>
            <w:proofErr w:type="spellEnd"/>
            <w:r w:rsidRPr="00AC010D">
              <w:rPr>
                <w:color w:val="000000"/>
                <w:szCs w:val="24"/>
              </w:rPr>
              <w:t xml:space="preserve"> or </w:t>
            </w:r>
            <w:proofErr w:type="spellStart"/>
            <w:r w:rsidRPr="00AC010D">
              <w:rPr>
                <w:color w:val="000000"/>
                <w:szCs w:val="24"/>
              </w:rPr>
              <w:t>Vm</w:t>
            </w:r>
            <w:proofErr w:type="spellEnd"/>
            <w:r w:rsidRPr="00AC010D">
              <w:rPr>
                <w:color w:val="000000"/>
                <w:szCs w:val="24"/>
              </w:rPr>
              <w:t>)</w:t>
            </w:r>
          </w:p>
        </w:tc>
        <w:tc>
          <w:tcPr>
            <w:tcW w:w="1664"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jc w:val="center"/>
              <w:rPr>
                <w:color w:val="000000"/>
                <w:szCs w:val="24"/>
              </w:rPr>
            </w:pPr>
            <w:proofErr w:type="spellStart"/>
            <w:r w:rsidRPr="00AC010D">
              <w:rPr>
                <w:color w:val="000000"/>
                <w:szCs w:val="24"/>
              </w:rPr>
              <w:t>mol</w:t>
            </w:r>
            <w:proofErr w:type="spellEnd"/>
            <w:r w:rsidRPr="00AC010D">
              <w:rPr>
                <w:color w:val="000000"/>
                <w:szCs w:val="24"/>
              </w:rPr>
              <w:t xml:space="preserve"> m</w:t>
            </w:r>
            <w:r w:rsidRPr="00AC010D">
              <w:rPr>
                <w:color w:val="000000"/>
                <w:szCs w:val="24"/>
                <w:vertAlign w:val="superscript"/>
              </w:rPr>
              <w:t>-2</w:t>
            </w:r>
            <w:r w:rsidRPr="00AC010D">
              <w:rPr>
                <w:color w:val="000000"/>
                <w:szCs w:val="24"/>
              </w:rPr>
              <w:t xml:space="preserve"> s</w:t>
            </w:r>
            <w:r w:rsidRPr="00AC010D">
              <w:rPr>
                <w:color w:val="000000"/>
                <w:szCs w:val="24"/>
                <w:vertAlign w:val="superscript"/>
              </w:rPr>
              <w:t>-1</w:t>
            </w:r>
          </w:p>
        </w:tc>
        <w:tc>
          <w:tcPr>
            <w:tcW w:w="1829"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jc w:val="center"/>
              <w:rPr>
                <w:color w:val="000000"/>
                <w:szCs w:val="24"/>
              </w:rPr>
            </w:pPr>
            <w:r w:rsidRPr="00AC010D">
              <w:rPr>
                <w:color w:val="000000"/>
                <w:szCs w:val="24"/>
              </w:rPr>
              <w:t>60</w:t>
            </w:r>
            <w:r>
              <w:rPr>
                <w:color w:val="000000"/>
                <w:szCs w:val="24"/>
              </w:rPr>
              <w:t xml:space="preserve"> x 10</w:t>
            </w:r>
            <w:r w:rsidRPr="006D6DF3">
              <w:rPr>
                <w:color w:val="000000"/>
                <w:szCs w:val="24"/>
                <w:vertAlign w:val="superscript"/>
              </w:rPr>
              <w:t>-6</w:t>
            </w:r>
          </w:p>
        </w:tc>
        <w:tc>
          <w:tcPr>
            <w:tcW w:w="2352"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rPr>
                <w:color w:val="000000"/>
                <w:szCs w:val="24"/>
              </w:rPr>
            </w:pPr>
            <w:r w:rsidRPr="00AC010D">
              <w:rPr>
                <w:color w:val="000000"/>
                <w:szCs w:val="24"/>
              </w:rPr>
              <w:t xml:space="preserve"> </w:t>
            </w:r>
            <w:proofErr w:type="spellStart"/>
            <w:r w:rsidRPr="00AC010D">
              <w:rPr>
                <w:color w:val="000000"/>
                <w:szCs w:val="24"/>
              </w:rPr>
              <w:t>Katul</w:t>
            </w:r>
            <w:proofErr w:type="spellEnd"/>
            <w:r w:rsidRPr="00AC010D">
              <w:rPr>
                <w:color w:val="000000"/>
                <w:szCs w:val="24"/>
              </w:rPr>
              <w:t xml:space="preserve"> </w:t>
            </w:r>
            <w:r>
              <w:rPr>
                <w:color w:val="000000"/>
                <w:szCs w:val="24"/>
              </w:rPr>
              <w:t>e</w:t>
            </w:r>
            <w:r w:rsidRPr="00AC010D">
              <w:rPr>
                <w:color w:val="000000"/>
                <w:szCs w:val="24"/>
              </w:rPr>
              <w:t>t al.</w:t>
            </w:r>
            <w:r>
              <w:rPr>
                <w:color w:val="000000"/>
                <w:szCs w:val="24"/>
              </w:rPr>
              <w:t>,</w:t>
            </w:r>
            <w:r w:rsidRPr="00AC010D">
              <w:rPr>
                <w:color w:val="000000"/>
                <w:szCs w:val="24"/>
              </w:rPr>
              <w:t xml:space="preserve"> 2010 </w:t>
            </w:r>
          </w:p>
        </w:tc>
      </w:tr>
      <w:tr w:rsidR="008B16E8" w:rsidRPr="00AC010D" w:rsidTr="00B8715B">
        <w:trPr>
          <w:gridAfter w:val="1"/>
          <w:wAfter w:w="24" w:type="dxa"/>
          <w:trHeight w:val="570"/>
        </w:trPr>
        <w:tc>
          <w:tcPr>
            <w:tcW w:w="1134" w:type="dxa"/>
            <w:tcBorders>
              <w:top w:val="nil"/>
              <w:left w:val="nil"/>
              <w:bottom w:val="nil"/>
              <w:right w:val="nil"/>
            </w:tcBorders>
            <w:shd w:val="clear" w:color="auto" w:fill="auto"/>
            <w:vAlign w:val="center"/>
            <w:hideMark/>
          </w:tcPr>
          <w:p w:rsidR="008B16E8" w:rsidRPr="00B80C40" w:rsidRDefault="008B16E8" w:rsidP="00B8715B">
            <w:pPr>
              <w:spacing w:line="240" w:lineRule="auto"/>
              <w:ind w:hanging="19"/>
              <w:rPr>
                <w:i/>
                <w:color w:val="000000"/>
                <w:szCs w:val="24"/>
              </w:rPr>
            </w:pPr>
            <w:r w:rsidRPr="00B80C40">
              <w:rPr>
                <w:i/>
                <w:color w:val="000000"/>
                <w:szCs w:val="24"/>
              </w:rPr>
              <w:t>a</w:t>
            </w:r>
            <w:r w:rsidRPr="00B80C40">
              <w:rPr>
                <w:i/>
                <w:color w:val="000000"/>
                <w:szCs w:val="24"/>
                <w:vertAlign w:val="subscript"/>
              </w:rPr>
              <w:t>2</w:t>
            </w:r>
          </w:p>
        </w:tc>
        <w:tc>
          <w:tcPr>
            <w:tcW w:w="3343"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35"/>
              <w:rPr>
                <w:color w:val="000000"/>
                <w:szCs w:val="24"/>
              </w:rPr>
            </w:pPr>
            <w:r w:rsidRPr="00AC010D">
              <w:rPr>
                <w:color w:val="000000"/>
                <w:szCs w:val="24"/>
              </w:rPr>
              <w:t>biochemical constant</w:t>
            </w:r>
          </w:p>
        </w:tc>
        <w:tc>
          <w:tcPr>
            <w:tcW w:w="1664"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jc w:val="center"/>
              <w:rPr>
                <w:color w:val="000000"/>
                <w:szCs w:val="24"/>
              </w:rPr>
            </w:pPr>
            <w:proofErr w:type="spellStart"/>
            <w:r w:rsidRPr="00AC010D">
              <w:rPr>
                <w:color w:val="000000"/>
                <w:szCs w:val="24"/>
              </w:rPr>
              <w:t>mol</w:t>
            </w:r>
            <w:proofErr w:type="spellEnd"/>
            <w:r w:rsidRPr="00AC010D">
              <w:rPr>
                <w:color w:val="000000"/>
                <w:szCs w:val="24"/>
              </w:rPr>
              <w:t xml:space="preserve"> mol</w:t>
            </w:r>
            <w:r w:rsidRPr="00AC010D">
              <w:rPr>
                <w:color w:val="000000"/>
                <w:szCs w:val="24"/>
                <w:vertAlign w:val="superscript"/>
              </w:rPr>
              <w:t>-1</w:t>
            </w:r>
          </w:p>
        </w:tc>
        <w:tc>
          <w:tcPr>
            <w:tcW w:w="1829"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jc w:val="center"/>
              <w:rPr>
                <w:color w:val="000000"/>
                <w:szCs w:val="24"/>
              </w:rPr>
            </w:pPr>
            <w:r w:rsidRPr="00AC010D">
              <w:rPr>
                <w:color w:val="000000"/>
                <w:szCs w:val="24"/>
              </w:rPr>
              <w:t>510</w:t>
            </w:r>
            <w:r>
              <w:rPr>
                <w:color w:val="000000"/>
                <w:szCs w:val="24"/>
              </w:rPr>
              <w:t xml:space="preserve"> x 10</w:t>
            </w:r>
            <w:r w:rsidRPr="006D6DF3">
              <w:rPr>
                <w:color w:val="000000"/>
                <w:szCs w:val="24"/>
                <w:vertAlign w:val="superscript"/>
              </w:rPr>
              <w:t>-6</w:t>
            </w:r>
          </w:p>
        </w:tc>
        <w:tc>
          <w:tcPr>
            <w:tcW w:w="2352"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rPr>
                <w:color w:val="000000"/>
                <w:szCs w:val="24"/>
              </w:rPr>
            </w:pPr>
            <w:r w:rsidRPr="00AC010D">
              <w:rPr>
                <w:color w:val="000000"/>
                <w:szCs w:val="24"/>
              </w:rPr>
              <w:t xml:space="preserve"> </w:t>
            </w:r>
            <w:proofErr w:type="spellStart"/>
            <w:r w:rsidRPr="00AC010D">
              <w:rPr>
                <w:color w:val="000000"/>
                <w:szCs w:val="24"/>
              </w:rPr>
              <w:t>Katul</w:t>
            </w:r>
            <w:proofErr w:type="spellEnd"/>
            <w:r w:rsidRPr="00AC010D">
              <w:rPr>
                <w:color w:val="000000"/>
                <w:szCs w:val="24"/>
              </w:rPr>
              <w:t xml:space="preserve"> </w:t>
            </w:r>
            <w:r>
              <w:rPr>
                <w:color w:val="000000"/>
                <w:szCs w:val="24"/>
              </w:rPr>
              <w:t>e</w:t>
            </w:r>
            <w:r w:rsidRPr="00AC010D">
              <w:rPr>
                <w:color w:val="000000"/>
                <w:szCs w:val="24"/>
              </w:rPr>
              <w:t>t al.</w:t>
            </w:r>
            <w:r>
              <w:rPr>
                <w:color w:val="000000"/>
                <w:szCs w:val="24"/>
              </w:rPr>
              <w:t>,</w:t>
            </w:r>
            <w:r w:rsidRPr="00AC010D">
              <w:rPr>
                <w:color w:val="000000"/>
                <w:szCs w:val="24"/>
              </w:rPr>
              <w:t xml:space="preserve"> 2010</w:t>
            </w:r>
          </w:p>
        </w:tc>
      </w:tr>
      <w:tr w:rsidR="008B16E8" w:rsidRPr="00AC010D" w:rsidTr="00B8715B">
        <w:trPr>
          <w:gridAfter w:val="1"/>
          <w:wAfter w:w="24" w:type="dxa"/>
          <w:trHeight w:val="570"/>
        </w:trPr>
        <w:tc>
          <w:tcPr>
            <w:tcW w:w="1134" w:type="dxa"/>
            <w:tcBorders>
              <w:top w:val="nil"/>
              <w:left w:val="nil"/>
              <w:bottom w:val="nil"/>
              <w:right w:val="nil"/>
            </w:tcBorders>
            <w:shd w:val="clear" w:color="auto" w:fill="auto"/>
            <w:vAlign w:val="center"/>
            <w:hideMark/>
          </w:tcPr>
          <w:p w:rsidR="008B16E8" w:rsidRPr="00B80C40" w:rsidRDefault="008B16E8" w:rsidP="00B8715B">
            <w:pPr>
              <w:spacing w:line="240" w:lineRule="auto"/>
              <w:ind w:hanging="19"/>
              <w:rPr>
                <w:i/>
                <w:color w:val="000000"/>
                <w:szCs w:val="24"/>
              </w:rPr>
            </w:pPr>
            <w:r w:rsidRPr="00B80C40">
              <w:rPr>
                <w:i/>
                <w:color w:val="000000"/>
                <w:szCs w:val="24"/>
              </w:rPr>
              <w:t>C</w:t>
            </w:r>
            <w:r w:rsidRPr="00B80C40">
              <w:rPr>
                <w:i/>
                <w:color w:val="000000"/>
                <w:szCs w:val="24"/>
                <w:vertAlign w:val="subscript"/>
              </w:rPr>
              <w:t>a</w:t>
            </w:r>
          </w:p>
        </w:tc>
        <w:tc>
          <w:tcPr>
            <w:tcW w:w="3343"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35"/>
              <w:rPr>
                <w:color w:val="000000"/>
                <w:szCs w:val="24"/>
              </w:rPr>
            </w:pPr>
            <w:r w:rsidRPr="00AC010D">
              <w:rPr>
                <w:color w:val="000000"/>
                <w:szCs w:val="24"/>
              </w:rPr>
              <w:t>CO</w:t>
            </w:r>
            <w:r w:rsidRPr="00AC010D">
              <w:rPr>
                <w:color w:val="000000"/>
                <w:szCs w:val="24"/>
                <w:vertAlign w:val="subscript"/>
              </w:rPr>
              <w:t>2</w:t>
            </w:r>
            <w:r w:rsidRPr="00AC010D">
              <w:rPr>
                <w:color w:val="000000"/>
                <w:szCs w:val="24"/>
              </w:rPr>
              <w:t xml:space="preserve"> concentration of air (ambient CO</w:t>
            </w:r>
            <w:r w:rsidRPr="00685A52">
              <w:rPr>
                <w:color w:val="000000"/>
                <w:szCs w:val="24"/>
                <w:vertAlign w:val="subscript"/>
              </w:rPr>
              <w:t>2</w:t>
            </w:r>
            <w:r w:rsidRPr="00AC010D">
              <w:rPr>
                <w:color w:val="000000"/>
                <w:szCs w:val="24"/>
              </w:rPr>
              <w:t xml:space="preserve"> concentration)</w:t>
            </w:r>
          </w:p>
        </w:tc>
        <w:tc>
          <w:tcPr>
            <w:tcW w:w="1664" w:type="dxa"/>
            <w:tcBorders>
              <w:top w:val="nil"/>
              <w:left w:val="nil"/>
              <w:bottom w:val="nil"/>
              <w:right w:val="nil"/>
            </w:tcBorders>
            <w:shd w:val="clear" w:color="auto" w:fill="auto"/>
            <w:vAlign w:val="center"/>
            <w:hideMark/>
          </w:tcPr>
          <w:p w:rsidR="008B16E8" w:rsidRPr="003B2515" w:rsidRDefault="008B16E8" w:rsidP="00B8715B">
            <w:pPr>
              <w:spacing w:line="240" w:lineRule="auto"/>
              <w:ind w:firstLine="0"/>
              <w:jc w:val="center"/>
              <w:rPr>
                <w:color w:val="000000"/>
                <w:szCs w:val="24"/>
              </w:rPr>
            </w:pPr>
            <w:proofErr w:type="spellStart"/>
            <w:r w:rsidRPr="00AC010D">
              <w:rPr>
                <w:color w:val="000000"/>
                <w:szCs w:val="24"/>
              </w:rPr>
              <w:t>mol</w:t>
            </w:r>
            <w:proofErr w:type="spellEnd"/>
            <w:r w:rsidRPr="00AC010D">
              <w:rPr>
                <w:color w:val="000000"/>
                <w:szCs w:val="24"/>
              </w:rPr>
              <w:t xml:space="preserve"> mol</w:t>
            </w:r>
            <w:r w:rsidRPr="00AC010D">
              <w:rPr>
                <w:color w:val="000000"/>
                <w:szCs w:val="24"/>
                <w:vertAlign w:val="superscript"/>
              </w:rPr>
              <w:t>-1</w:t>
            </w:r>
          </w:p>
        </w:tc>
        <w:tc>
          <w:tcPr>
            <w:tcW w:w="1829" w:type="dxa"/>
            <w:tcBorders>
              <w:top w:val="nil"/>
              <w:left w:val="nil"/>
              <w:bottom w:val="nil"/>
              <w:right w:val="nil"/>
            </w:tcBorders>
            <w:shd w:val="clear" w:color="auto" w:fill="auto"/>
            <w:vAlign w:val="center"/>
            <w:hideMark/>
          </w:tcPr>
          <w:p w:rsidR="008B16E8" w:rsidRDefault="008B16E8" w:rsidP="00B8715B">
            <w:pPr>
              <w:spacing w:line="240" w:lineRule="auto"/>
              <w:ind w:firstLine="0"/>
              <w:jc w:val="center"/>
              <w:rPr>
                <w:color w:val="000000"/>
                <w:szCs w:val="24"/>
              </w:rPr>
            </w:pPr>
            <w:r>
              <w:rPr>
                <w:color w:val="000000"/>
                <w:szCs w:val="24"/>
              </w:rPr>
              <w:t xml:space="preserve">0.0004 </w:t>
            </w:r>
          </w:p>
          <w:p w:rsidR="008B16E8" w:rsidRPr="00AC010D" w:rsidRDefault="008B16E8" w:rsidP="00B8715B">
            <w:pPr>
              <w:spacing w:line="240" w:lineRule="auto"/>
              <w:ind w:firstLine="0"/>
              <w:jc w:val="center"/>
              <w:rPr>
                <w:color w:val="000000"/>
                <w:szCs w:val="24"/>
              </w:rPr>
            </w:pPr>
          </w:p>
        </w:tc>
        <w:tc>
          <w:tcPr>
            <w:tcW w:w="2352"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rPr>
                <w:color w:val="000000"/>
                <w:szCs w:val="24"/>
              </w:rPr>
            </w:pPr>
            <w:r>
              <w:rPr>
                <w:color w:val="000000"/>
                <w:szCs w:val="24"/>
              </w:rPr>
              <w:fldChar w:fldCharType="begin" w:fldLock="1"/>
            </w:r>
            <w:r>
              <w:rPr>
                <w:color w:val="000000"/>
                <w:szCs w:val="24"/>
              </w:rPr>
              <w:instrText>ADDIN CSL_CITATION {"citationItems":[{"id":"ITEM-1","itemData":{"DOI":"10.1111/nph.12552","ISBN":"1469-8137","ISSN":"0028646X","PMID":"24124922","abstract":"Despite the critical role that stomata play in terrestrial carbon and water flux (Hetherington &amp; Woodward, 2003), there remains no consensus theoretical model that can explain and predict variations in stomatal conductance to water vapour (gsw) in relation to short- and long-term variations in environmental forcing (Berry et al., 2010; Damour et al., 2010; Buckley &amp; Mott, 2013). One appealing prospect to fill this modelling gap is the hypothesis that plants regulate gsw optimally, that is, they vary gsw so that carbon gain is maximized for a given water loss (Cowan &amp; Farquhar, 1977). Challenges arise when using this hypothesis to predict stomatal behaviour, particularly in relation to elevated atmospheric CO2 concentration (ca). One challenge is that the optimal short-term response of gsw to ca is widely perceived to differ from the observed response (Katul et al., 2010; Medlyn et al., 2011, 2013). Another is the apparent lack of a theoretical framework to extend the theory to long-term changes in ca, such as those associated with climate change. Recent work by Katul et al. (2009, 2010) and Medlyn et al. (2011, 2013) has revitalized the optimization approach by beginning to address these challenges. Our objective in this Letter is to clarify several issues raised by that work, and to offer an alternative perspective based on integration of leaf and whole plant function.","author":[{"dropping-particle":"","family":"Buckley","given":"Thomas N.","non-dropping-particle":"","parse-names":false,"suffix":""},{"dropping-particle":"","family":"Schymanski","given":"Stanislaus J.","non-dropping-particle":"","parse-names":false,"suffix":""}],"container-title":"New Phytologist","id":"ITEM-1","issue":"2","issued":{"date-parts":[["2014"]]},"note":"NULL","page":"372-377","title":"Stomatal optimisation in relation to atmospheric CO2","type":"article-journal","volume":"201"},"uris":["http://www.mendeley.com/documents/?uuid=5f348665-c7d8-479a-82df-d2f42e7089bf"]}],"mendeley":{"formattedCitation":"(Buckley and Schymanski 2014)","manualFormatting":"Buckley and Schymanski, 2014","plainTextFormattedCitation":"(Buckley and Schymanski 2014)","previouslyFormattedCitation":"(Buckley and Schymanski 2014)"},"properties":{"noteIndex":0},"schema":"https://github.com/citation-style-language/schema/raw/master/csl-citation.json"}</w:instrText>
            </w:r>
            <w:r>
              <w:rPr>
                <w:color w:val="000000"/>
                <w:szCs w:val="24"/>
              </w:rPr>
              <w:fldChar w:fldCharType="separate"/>
            </w:r>
            <w:r w:rsidRPr="00AC010D">
              <w:rPr>
                <w:noProof/>
                <w:color w:val="000000"/>
                <w:szCs w:val="24"/>
              </w:rPr>
              <w:t>Buckley and Schymanski</w:t>
            </w:r>
            <w:r>
              <w:rPr>
                <w:noProof/>
                <w:color w:val="000000"/>
                <w:szCs w:val="24"/>
              </w:rPr>
              <w:t>,</w:t>
            </w:r>
            <w:r w:rsidRPr="00AC010D">
              <w:rPr>
                <w:noProof/>
                <w:color w:val="000000"/>
                <w:szCs w:val="24"/>
              </w:rPr>
              <w:t xml:space="preserve"> 2014</w:t>
            </w:r>
            <w:r>
              <w:rPr>
                <w:color w:val="000000"/>
                <w:szCs w:val="24"/>
              </w:rPr>
              <w:fldChar w:fldCharType="end"/>
            </w:r>
          </w:p>
        </w:tc>
      </w:tr>
      <w:tr w:rsidR="008B16E8" w:rsidRPr="00AC010D" w:rsidTr="00B8715B">
        <w:trPr>
          <w:gridAfter w:val="1"/>
          <w:wAfter w:w="24" w:type="dxa"/>
          <w:trHeight w:val="724"/>
        </w:trPr>
        <w:tc>
          <w:tcPr>
            <w:tcW w:w="1134" w:type="dxa"/>
            <w:tcBorders>
              <w:top w:val="nil"/>
              <w:left w:val="nil"/>
              <w:bottom w:val="nil"/>
              <w:right w:val="nil"/>
            </w:tcBorders>
            <w:shd w:val="clear" w:color="auto" w:fill="auto"/>
            <w:vAlign w:val="center"/>
            <w:hideMark/>
          </w:tcPr>
          <w:p w:rsidR="008B16E8" w:rsidRPr="00B80C40" w:rsidRDefault="008B16E8" w:rsidP="00B8715B">
            <w:pPr>
              <w:spacing w:line="240" w:lineRule="auto"/>
              <w:ind w:hanging="19"/>
              <w:rPr>
                <w:i/>
                <w:color w:val="000000"/>
                <w:szCs w:val="24"/>
              </w:rPr>
            </w:pPr>
          </w:p>
        </w:tc>
        <w:tc>
          <w:tcPr>
            <w:tcW w:w="3343"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35"/>
              <w:rPr>
                <w:color w:val="000000"/>
                <w:szCs w:val="24"/>
              </w:rPr>
            </w:pPr>
            <w:r w:rsidRPr="00AC010D">
              <w:rPr>
                <w:color w:val="000000"/>
                <w:szCs w:val="24"/>
              </w:rPr>
              <w:t xml:space="preserve"> the ratio of resistance of CO</w:t>
            </w:r>
            <w:r w:rsidRPr="00685A52">
              <w:rPr>
                <w:color w:val="000000"/>
                <w:szCs w:val="24"/>
                <w:vertAlign w:val="subscript"/>
              </w:rPr>
              <w:t>2</w:t>
            </w:r>
            <w:r w:rsidRPr="00AC010D">
              <w:rPr>
                <w:color w:val="000000"/>
                <w:szCs w:val="24"/>
              </w:rPr>
              <w:t xml:space="preserve"> to H</w:t>
            </w:r>
            <w:r w:rsidRPr="00685A52">
              <w:rPr>
                <w:color w:val="000000"/>
                <w:szCs w:val="24"/>
                <w:vertAlign w:val="subscript"/>
              </w:rPr>
              <w:t>2</w:t>
            </w:r>
            <w:r w:rsidRPr="00AC010D">
              <w:rPr>
                <w:color w:val="000000"/>
                <w:szCs w:val="24"/>
              </w:rPr>
              <w:t>O</w:t>
            </w:r>
          </w:p>
        </w:tc>
        <w:tc>
          <w:tcPr>
            <w:tcW w:w="1664"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jc w:val="center"/>
              <w:rPr>
                <w:color w:val="000000"/>
                <w:szCs w:val="24"/>
              </w:rPr>
            </w:pPr>
          </w:p>
        </w:tc>
        <w:tc>
          <w:tcPr>
            <w:tcW w:w="1829"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jc w:val="center"/>
              <w:rPr>
                <w:color w:val="000000"/>
                <w:szCs w:val="24"/>
              </w:rPr>
            </w:pPr>
            <w:r w:rsidRPr="00AC010D">
              <w:rPr>
                <w:color w:val="000000"/>
                <w:szCs w:val="24"/>
              </w:rPr>
              <w:t>1.</w:t>
            </w:r>
            <w:r>
              <w:rPr>
                <w:color w:val="000000"/>
                <w:szCs w:val="24"/>
              </w:rPr>
              <w:t>6</w:t>
            </w:r>
          </w:p>
        </w:tc>
        <w:tc>
          <w:tcPr>
            <w:tcW w:w="2352"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jc w:val="center"/>
              <w:rPr>
                <w:color w:val="000000"/>
                <w:szCs w:val="24"/>
              </w:rPr>
            </w:pPr>
          </w:p>
        </w:tc>
      </w:tr>
      <w:tr w:rsidR="008B16E8" w:rsidRPr="00AC010D" w:rsidTr="00B8715B">
        <w:trPr>
          <w:gridAfter w:val="1"/>
          <w:wAfter w:w="24" w:type="dxa"/>
          <w:trHeight w:val="765"/>
        </w:trPr>
        <w:tc>
          <w:tcPr>
            <w:tcW w:w="1134" w:type="dxa"/>
            <w:tcBorders>
              <w:top w:val="nil"/>
              <w:left w:val="nil"/>
              <w:bottom w:val="nil"/>
              <w:right w:val="nil"/>
            </w:tcBorders>
            <w:shd w:val="clear" w:color="auto" w:fill="auto"/>
            <w:vAlign w:val="center"/>
            <w:hideMark/>
          </w:tcPr>
          <w:p w:rsidR="008B16E8" w:rsidRPr="00B80C40" w:rsidRDefault="008B16E8" w:rsidP="00B8715B">
            <w:pPr>
              <w:spacing w:line="240" w:lineRule="auto"/>
              <w:ind w:hanging="19"/>
              <w:rPr>
                <w:i/>
                <w:color w:val="000000"/>
                <w:szCs w:val="24"/>
              </w:rPr>
            </w:pPr>
            <w:r w:rsidRPr="00B80C40">
              <w:rPr>
                <w:i/>
                <w:color w:val="000000"/>
                <w:szCs w:val="24"/>
              </w:rPr>
              <w:t>cons2</w:t>
            </w:r>
          </w:p>
        </w:tc>
        <w:tc>
          <w:tcPr>
            <w:tcW w:w="3343"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35"/>
              <w:rPr>
                <w:color w:val="000000"/>
                <w:szCs w:val="24"/>
              </w:rPr>
            </w:pPr>
            <w:r>
              <w:rPr>
                <w:color w:val="000000"/>
                <w:szCs w:val="24"/>
              </w:rPr>
              <w:t>inverse</w:t>
            </w:r>
            <w:r w:rsidRPr="00AC010D">
              <w:rPr>
                <w:color w:val="000000"/>
                <w:szCs w:val="24"/>
              </w:rPr>
              <w:t xml:space="preserve"> of the specific gas con</w:t>
            </w:r>
            <w:r>
              <w:rPr>
                <w:color w:val="000000"/>
                <w:szCs w:val="24"/>
              </w:rPr>
              <w:t>s</w:t>
            </w:r>
            <w:r w:rsidRPr="00AC010D">
              <w:rPr>
                <w:color w:val="000000"/>
                <w:szCs w:val="24"/>
              </w:rPr>
              <w:t>tant of wate</w:t>
            </w:r>
            <w:r>
              <w:rPr>
                <w:color w:val="000000"/>
                <w:szCs w:val="24"/>
              </w:rPr>
              <w:t>r</w:t>
            </w:r>
            <w:r w:rsidRPr="00AC010D">
              <w:rPr>
                <w:color w:val="000000"/>
                <w:szCs w:val="24"/>
              </w:rPr>
              <w:t xml:space="preserve"> vapor </w:t>
            </w:r>
          </w:p>
        </w:tc>
        <w:tc>
          <w:tcPr>
            <w:tcW w:w="1664"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jc w:val="center"/>
              <w:rPr>
                <w:color w:val="000000"/>
                <w:szCs w:val="24"/>
              </w:rPr>
            </w:pPr>
            <w:r w:rsidRPr="00AC010D">
              <w:rPr>
                <w:color w:val="000000"/>
                <w:szCs w:val="24"/>
              </w:rPr>
              <w:t>s</w:t>
            </w:r>
            <w:r w:rsidRPr="00AC010D">
              <w:rPr>
                <w:color w:val="000000"/>
                <w:szCs w:val="24"/>
                <w:vertAlign w:val="superscript"/>
              </w:rPr>
              <w:t>2</w:t>
            </w:r>
            <w:r w:rsidRPr="00AC010D">
              <w:rPr>
                <w:color w:val="000000"/>
                <w:szCs w:val="24"/>
              </w:rPr>
              <w:t xml:space="preserve"> m</w:t>
            </w:r>
            <w:r w:rsidRPr="00AC010D">
              <w:rPr>
                <w:color w:val="000000"/>
                <w:szCs w:val="24"/>
                <w:vertAlign w:val="superscript"/>
              </w:rPr>
              <w:t>-2</w:t>
            </w:r>
          </w:p>
        </w:tc>
        <w:tc>
          <w:tcPr>
            <w:tcW w:w="1829"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jc w:val="center"/>
              <w:rPr>
                <w:color w:val="000000"/>
                <w:szCs w:val="24"/>
              </w:rPr>
            </w:pPr>
            <w:r w:rsidRPr="00AC010D">
              <w:rPr>
                <w:color w:val="000000"/>
                <w:szCs w:val="24"/>
              </w:rPr>
              <w:t>7.27</w:t>
            </w:r>
            <w:r>
              <w:rPr>
                <w:color w:val="000000"/>
                <w:szCs w:val="24"/>
              </w:rPr>
              <w:t xml:space="preserve"> </w:t>
            </w:r>
            <w:r w:rsidRPr="00AC010D">
              <w:rPr>
                <w:color w:val="000000"/>
                <w:szCs w:val="24"/>
              </w:rPr>
              <w:t>x</w:t>
            </w:r>
            <w:r>
              <w:rPr>
                <w:color w:val="000000"/>
                <w:szCs w:val="24"/>
              </w:rPr>
              <w:t xml:space="preserve"> </w:t>
            </w:r>
            <w:r w:rsidRPr="00AC010D">
              <w:rPr>
                <w:color w:val="000000"/>
                <w:szCs w:val="24"/>
              </w:rPr>
              <w:t>10</w:t>
            </w:r>
            <w:r w:rsidRPr="00AC010D">
              <w:rPr>
                <w:color w:val="000000"/>
                <w:szCs w:val="24"/>
                <w:vertAlign w:val="superscript"/>
              </w:rPr>
              <w:t>-6</w:t>
            </w:r>
          </w:p>
        </w:tc>
        <w:tc>
          <w:tcPr>
            <w:tcW w:w="2352"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jc w:val="center"/>
              <w:rPr>
                <w:color w:val="000000"/>
                <w:szCs w:val="24"/>
              </w:rPr>
            </w:pPr>
          </w:p>
        </w:tc>
      </w:tr>
      <w:tr w:rsidR="008B16E8" w:rsidRPr="00AC010D" w:rsidTr="00B8715B">
        <w:trPr>
          <w:gridAfter w:val="1"/>
          <w:wAfter w:w="24" w:type="dxa"/>
          <w:trHeight w:val="615"/>
        </w:trPr>
        <w:tc>
          <w:tcPr>
            <w:tcW w:w="1134" w:type="dxa"/>
            <w:tcBorders>
              <w:top w:val="nil"/>
              <w:left w:val="nil"/>
              <w:bottom w:val="nil"/>
              <w:right w:val="nil"/>
            </w:tcBorders>
            <w:shd w:val="clear" w:color="auto" w:fill="auto"/>
            <w:vAlign w:val="center"/>
            <w:hideMark/>
          </w:tcPr>
          <w:p w:rsidR="008B16E8" w:rsidRPr="00B80C40" w:rsidRDefault="008B16E8" w:rsidP="00B8715B">
            <w:pPr>
              <w:spacing w:line="240" w:lineRule="auto"/>
              <w:ind w:hanging="19"/>
              <w:rPr>
                <w:i/>
                <w:color w:val="000000"/>
                <w:szCs w:val="24"/>
              </w:rPr>
            </w:pPr>
            <w:r w:rsidRPr="00B80C40">
              <w:rPr>
                <w:i/>
                <w:color w:val="000000"/>
                <w:szCs w:val="24"/>
              </w:rPr>
              <w:t>cons1</w:t>
            </w:r>
          </w:p>
        </w:tc>
        <w:tc>
          <w:tcPr>
            <w:tcW w:w="3343"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35"/>
              <w:rPr>
                <w:color w:val="000000"/>
                <w:szCs w:val="24"/>
              </w:rPr>
            </w:pPr>
            <w:r>
              <w:rPr>
                <w:color w:val="000000"/>
                <w:szCs w:val="24"/>
              </w:rPr>
              <w:t>molar mass of H</w:t>
            </w:r>
            <w:r w:rsidRPr="00C16455">
              <w:rPr>
                <w:color w:val="000000"/>
                <w:szCs w:val="24"/>
                <w:vertAlign w:val="subscript"/>
              </w:rPr>
              <w:t>2</w:t>
            </w:r>
            <w:r>
              <w:rPr>
                <w:color w:val="000000"/>
                <w:szCs w:val="24"/>
              </w:rPr>
              <w:t>0</w:t>
            </w:r>
            <w:r w:rsidRPr="00AC010D">
              <w:rPr>
                <w:color w:val="000000"/>
                <w:szCs w:val="24"/>
              </w:rPr>
              <w:t xml:space="preserve"> </w:t>
            </w:r>
          </w:p>
        </w:tc>
        <w:tc>
          <w:tcPr>
            <w:tcW w:w="1664"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jc w:val="center"/>
              <w:rPr>
                <w:color w:val="000000"/>
                <w:szCs w:val="24"/>
              </w:rPr>
            </w:pPr>
            <w:r>
              <w:rPr>
                <w:color w:val="000000"/>
                <w:szCs w:val="24"/>
              </w:rPr>
              <w:t xml:space="preserve">kg </w:t>
            </w:r>
            <w:r w:rsidRPr="00AC010D">
              <w:rPr>
                <w:color w:val="000000"/>
                <w:szCs w:val="24"/>
              </w:rPr>
              <w:t>mol</w:t>
            </w:r>
            <w:r w:rsidRPr="00C16455">
              <w:rPr>
                <w:color w:val="000000"/>
                <w:szCs w:val="24"/>
                <w:vertAlign w:val="superscript"/>
              </w:rPr>
              <w:t>-1</w:t>
            </w:r>
            <w:r w:rsidRPr="00AC010D">
              <w:rPr>
                <w:color w:val="000000"/>
                <w:szCs w:val="24"/>
              </w:rPr>
              <w:t xml:space="preserve"> </w:t>
            </w:r>
          </w:p>
        </w:tc>
        <w:tc>
          <w:tcPr>
            <w:tcW w:w="1829"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jc w:val="center"/>
              <w:rPr>
                <w:color w:val="000000"/>
                <w:szCs w:val="24"/>
              </w:rPr>
            </w:pPr>
            <w:r w:rsidRPr="00BE2F39">
              <w:rPr>
                <w:color w:val="000000"/>
                <w:szCs w:val="24"/>
              </w:rPr>
              <w:t>0.</w:t>
            </w:r>
            <w:r>
              <w:rPr>
                <w:color w:val="000000"/>
                <w:szCs w:val="24"/>
              </w:rPr>
              <w:t>01801528</w:t>
            </w:r>
          </w:p>
        </w:tc>
        <w:tc>
          <w:tcPr>
            <w:tcW w:w="2352" w:type="dxa"/>
            <w:tcBorders>
              <w:top w:val="nil"/>
              <w:left w:val="nil"/>
              <w:bottom w:val="nil"/>
              <w:right w:val="nil"/>
            </w:tcBorders>
            <w:shd w:val="clear" w:color="auto" w:fill="auto"/>
            <w:noWrap/>
            <w:vAlign w:val="bottom"/>
            <w:hideMark/>
          </w:tcPr>
          <w:p w:rsidR="008B16E8" w:rsidRPr="00AC010D" w:rsidRDefault="008B16E8" w:rsidP="00B8715B">
            <w:pPr>
              <w:spacing w:line="240" w:lineRule="auto"/>
              <w:ind w:firstLine="0"/>
              <w:jc w:val="center"/>
              <w:rPr>
                <w:color w:val="000000"/>
                <w:szCs w:val="24"/>
              </w:rPr>
            </w:pPr>
          </w:p>
        </w:tc>
      </w:tr>
      <w:tr w:rsidR="008B16E8" w:rsidRPr="00AC010D" w:rsidTr="00B8715B">
        <w:trPr>
          <w:gridAfter w:val="1"/>
          <w:wAfter w:w="24" w:type="dxa"/>
          <w:trHeight w:val="720"/>
        </w:trPr>
        <w:tc>
          <w:tcPr>
            <w:tcW w:w="1134" w:type="dxa"/>
            <w:tcBorders>
              <w:top w:val="nil"/>
              <w:left w:val="nil"/>
              <w:bottom w:val="nil"/>
              <w:right w:val="nil"/>
            </w:tcBorders>
            <w:shd w:val="clear" w:color="auto" w:fill="auto"/>
            <w:vAlign w:val="center"/>
          </w:tcPr>
          <w:p w:rsidR="008B16E8" w:rsidRPr="00B80C40" w:rsidRDefault="008B16E8" w:rsidP="00B8715B">
            <w:pPr>
              <w:spacing w:line="240" w:lineRule="auto"/>
              <w:ind w:hanging="19"/>
              <w:rPr>
                <w:i/>
                <w:color w:val="000000"/>
                <w:szCs w:val="24"/>
              </w:rPr>
            </w:pPr>
            <w:bookmarkStart w:id="1" w:name="_Hlk518222159"/>
            <w:r w:rsidRPr="00B80C40">
              <w:rPr>
                <w:i/>
                <w:color w:val="000000"/>
                <w:szCs w:val="24"/>
              </w:rPr>
              <w:t>cons3</w:t>
            </w:r>
          </w:p>
        </w:tc>
        <w:tc>
          <w:tcPr>
            <w:tcW w:w="3343" w:type="dxa"/>
            <w:tcBorders>
              <w:top w:val="nil"/>
              <w:left w:val="nil"/>
              <w:bottom w:val="nil"/>
              <w:right w:val="nil"/>
            </w:tcBorders>
            <w:shd w:val="clear" w:color="auto" w:fill="auto"/>
            <w:vAlign w:val="center"/>
          </w:tcPr>
          <w:p w:rsidR="008B16E8" w:rsidRPr="00AC010D" w:rsidRDefault="008B16E8" w:rsidP="00B8715B">
            <w:pPr>
              <w:spacing w:line="240" w:lineRule="auto"/>
              <w:ind w:firstLine="35"/>
              <w:rPr>
                <w:color w:val="000000"/>
                <w:szCs w:val="24"/>
              </w:rPr>
            </w:pPr>
            <w:r>
              <w:rPr>
                <w:color w:val="000000"/>
                <w:szCs w:val="24"/>
              </w:rPr>
              <w:t xml:space="preserve">physical constant to convert mass flux resistance of H20 to </w:t>
            </w:r>
            <w:proofErr w:type="spellStart"/>
            <w:r>
              <w:rPr>
                <w:color w:val="000000"/>
                <w:szCs w:val="24"/>
              </w:rPr>
              <w:t>mol</w:t>
            </w:r>
            <w:proofErr w:type="spellEnd"/>
            <w:r>
              <w:rPr>
                <w:color w:val="000000"/>
                <w:szCs w:val="24"/>
              </w:rPr>
              <w:t xml:space="preserve"> concentration flux resistance at 25</w:t>
            </w:r>
            <w:r w:rsidRPr="00C16455">
              <w:rPr>
                <w:color w:val="000000"/>
                <w:szCs w:val="24"/>
                <w:vertAlign w:val="superscript"/>
              </w:rPr>
              <w:t>o</w:t>
            </w:r>
            <w:r>
              <w:rPr>
                <w:color w:val="000000"/>
                <w:szCs w:val="24"/>
              </w:rPr>
              <w:t>C</w:t>
            </w:r>
          </w:p>
        </w:tc>
        <w:tc>
          <w:tcPr>
            <w:tcW w:w="1664" w:type="dxa"/>
            <w:tcBorders>
              <w:top w:val="nil"/>
              <w:left w:val="nil"/>
              <w:bottom w:val="nil"/>
              <w:right w:val="nil"/>
            </w:tcBorders>
            <w:shd w:val="clear" w:color="auto" w:fill="auto"/>
            <w:vAlign w:val="center"/>
          </w:tcPr>
          <w:p w:rsidR="008B16E8" w:rsidRPr="00AC010D" w:rsidRDefault="008B16E8" w:rsidP="00B8715B">
            <w:pPr>
              <w:spacing w:line="240" w:lineRule="auto"/>
              <w:ind w:firstLine="0"/>
              <w:jc w:val="center"/>
              <w:rPr>
                <w:color w:val="000000"/>
                <w:szCs w:val="24"/>
              </w:rPr>
            </w:pPr>
            <w:r>
              <w:rPr>
                <w:color w:val="000000"/>
                <w:szCs w:val="24"/>
              </w:rPr>
              <w:t>m</w:t>
            </w:r>
            <w:r w:rsidRPr="00C16455">
              <w:rPr>
                <w:color w:val="000000"/>
                <w:szCs w:val="24"/>
                <w:vertAlign w:val="superscript"/>
              </w:rPr>
              <w:t>3</w:t>
            </w:r>
            <w:r>
              <w:rPr>
                <w:color w:val="000000"/>
                <w:szCs w:val="24"/>
              </w:rPr>
              <w:t xml:space="preserve"> mol</w:t>
            </w:r>
            <w:r w:rsidRPr="00C16455">
              <w:rPr>
                <w:color w:val="000000"/>
                <w:szCs w:val="24"/>
                <w:vertAlign w:val="superscript"/>
              </w:rPr>
              <w:t>-1</w:t>
            </w:r>
          </w:p>
        </w:tc>
        <w:tc>
          <w:tcPr>
            <w:tcW w:w="1829" w:type="dxa"/>
            <w:tcBorders>
              <w:top w:val="nil"/>
              <w:left w:val="nil"/>
              <w:bottom w:val="nil"/>
              <w:right w:val="nil"/>
            </w:tcBorders>
            <w:shd w:val="clear" w:color="auto" w:fill="auto"/>
            <w:vAlign w:val="center"/>
          </w:tcPr>
          <w:p w:rsidR="008B16E8" w:rsidRPr="00AC010D" w:rsidRDefault="008B16E8" w:rsidP="00B8715B">
            <w:pPr>
              <w:spacing w:line="240" w:lineRule="auto"/>
              <w:ind w:firstLine="0"/>
              <w:jc w:val="center"/>
              <w:rPr>
                <w:color w:val="000000"/>
                <w:szCs w:val="24"/>
              </w:rPr>
            </w:pPr>
            <w:r>
              <w:rPr>
                <w:color w:val="000000"/>
                <w:szCs w:val="24"/>
              </w:rPr>
              <w:t>0.025</w:t>
            </w:r>
          </w:p>
        </w:tc>
        <w:tc>
          <w:tcPr>
            <w:tcW w:w="2352" w:type="dxa"/>
            <w:tcBorders>
              <w:top w:val="nil"/>
              <w:left w:val="nil"/>
              <w:bottom w:val="nil"/>
              <w:right w:val="nil"/>
            </w:tcBorders>
            <w:shd w:val="clear" w:color="auto" w:fill="auto"/>
            <w:vAlign w:val="center"/>
          </w:tcPr>
          <w:p w:rsidR="008B16E8" w:rsidRPr="00AC010D" w:rsidRDefault="008B16E8" w:rsidP="00B8715B">
            <w:pPr>
              <w:spacing w:line="240" w:lineRule="auto"/>
              <w:ind w:firstLine="0"/>
              <w:jc w:val="center"/>
              <w:rPr>
                <w:color w:val="000000"/>
                <w:szCs w:val="24"/>
              </w:rPr>
            </w:pPr>
            <w:r>
              <w:rPr>
                <w:color w:val="000000"/>
                <w:szCs w:val="24"/>
              </w:rPr>
              <w:t xml:space="preserve">Jones 2014,  </w:t>
            </w:r>
            <w:proofErr w:type="spellStart"/>
            <w:r>
              <w:rPr>
                <w:color w:val="000000"/>
                <w:szCs w:val="24"/>
              </w:rPr>
              <w:t>eq</w:t>
            </w:r>
            <w:proofErr w:type="spellEnd"/>
            <w:r>
              <w:rPr>
                <w:color w:val="000000"/>
                <w:szCs w:val="24"/>
              </w:rPr>
              <w:t xml:space="preserve"> 3.24a</w:t>
            </w:r>
          </w:p>
        </w:tc>
      </w:tr>
      <w:bookmarkEnd w:id="1"/>
      <w:tr w:rsidR="008B16E8" w:rsidRPr="00AC010D" w:rsidTr="00B8715B">
        <w:trPr>
          <w:gridAfter w:val="1"/>
          <w:wAfter w:w="24" w:type="dxa"/>
          <w:trHeight w:val="720"/>
        </w:trPr>
        <w:tc>
          <w:tcPr>
            <w:tcW w:w="1134" w:type="dxa"/>
            <w:tcBorders>
              <w:top w:val="nil"/>
              <w:left w:val="nil"/>
              <w:bottom w:val="nil"/>
              <w:right w:val="nil"/>
            </w:tcBorders>
            <w:shd w:val="clear" w:color="auto" w:fill="auto"/>
            <w:vAlign w:val="center"/>
            <w:hideMark/>
          </w:tcPr>
          <w:p w:rsidR="008B16E8" w:rsidRPr="00B80C40" w:rsidRDefault="008B16E8" w:rsidP="00B8715B">
            <w:pPr>
              <w:spacing w:line="240" w:lineRule="auto"/>
              <w:ind w:hanging="19"/>
              <w:rPr>
                <w:i/>
                <w:color w:val="000000"/>
                <w:szCs w:val="24"/>
              </w:rPr>
            </w:pPr>
            <w:r w:rsidRPr="00B80C40">
              <w:rPr>
                <w:i/>
                <w:color w:val="000000"/>
                <w:szCs w:val="24"/>
              </w:rPr>
              <w:t>D</w:t>
            </w:r>
            <w:r w:rsidRPr="00B80C40">
              <w:rPr>
                <w:i/>
                <w:color w:val="000000"/>
                <w:szCs w:val="24"/>
                <w:vertAlign w:val="subscript"/>
              </w:rPr>
              <w:t>e</w:t>
            </w:r>
          </w:p>
        </w:tc>
        <w:tc>
          <w:tcPr>
            <w:tcW w:w="3343"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35"/>
              <w:rPr>
                <w:color w:val="000000"/>
                <w:szCs w:val="24"/>
              </w:rPr>
            </w:pPr>
            <w:r w:rsidRPr="00AC010D">
              <w:rPr>
                <w:color w:val="000000"/>
                <w:szCs w:val="24"/>
              </w:rPr>
              <w:t>water vapor diffusivity in air</w:t>
            </w:r>
          </w:p>
        </w:tc>
        <w:tc>
          <w:tcPr>
            <w:tcW w:w="1664"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jc w:val="center"/>
              <w:rPr>
                <w:color w:val="000000"/>
                <w:szCs w:val="24"/>
              </w:rPr>
            </w:pPr>
            <w:r w:rsidRPr="00AC010D">
              <w:rPr>
                <w:color w:val="000000"/>
                <w:szCs w:val="24"/>
              </w:rPr>
              <w:t>m</w:t>
            </w:r>
            <w:r w:rsidRPr="00AC010D">
              <w:rPr>
                <w:color w:val="000000"/>
                <w:szCs w:val="24"/>
                <w:vertAlign w:val="superscript"/>
              </w:rPr>
              <w:t>2</w:t>
            </w:r>
            <w:r w:rsidRPr="00AC010D">
              <w:rPr>
                <w:color w:val="000000"/>
                <w:szCs w:val="24"/>
              </w:rPr>
              <w:t xml:space="preserve"> s</w:t>
            </w:r>
            <w:r w:rsidRPr="00AC010D">
              <w:rPr>
                <w:color w:val="000000"/>
                <w:szCs w:val="24"/>
                <w:vertAlign w:val="superscript"/>
              </w:rPr>
              <w:t>-1</w:t>
            </w:r>
          </w:p>
        </w:tc>
        <w:tc>
          <w:tcPr>
            <w:tcW w:w="1829"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jc w:val="center"/>
              <w:rPr>
                <w:color w:val="000000"/>
                <w:szCs w:val="24"/>
              </w:rPr>
            </w:pPr>
            <w:r w:rsidRPr="00AC010D">
              <w:rPr>
                <w:color w:val="000000"/>
                <w:szCs w:val="24"/>
              </w:rPr>
              <w:t>24 x 10</w:t>
            </w:r>
            <w:r w:rsidRPr="00AC010D">
              <w:rPr>
                <w:color w:val="000000"/>
                <w:szCs w:val="24"/>
                <w:vertAlign w:val="superscript"/>
              </w:rPr>
              <w:t>-6</w:t>
            </w:r>
          </w:p>
        </w:tc>
        <w:tc>
          <w:tcPr>
            <w:tcW w:w="2352"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jc w:val="center"/>
              <w:rPr>
                <w:color w:val="000000"/>
                <w:szCs w:val="24"/>
              </w:rPr>
            </w:pPr>
          </w:p>
        </w:tc>
      </w:tr>
      <w:tr w:rsidR="008B16E8" w:rsidRPr="00AC010D" w:rsidTr="00B8715B">
        <w:trPr>
          <w:gridAfter w:val="1"/>
          <w:wAfter w:w="24" w:type="dxa"/>
          <w:trHeight w:val="315"/>
        </w:trPr>
        <w:tc>
          <w:tcPr>
            <w:tcW w:w="1134" w:type="dxa"/>
            <w:tcBorders>
              <w:top w:val="nil"/>
              <w:left w:val="nil"/>
              <w:bottom w:val="nil"/>
              <w:right w:val="nil"/>
            </w:tcBorders>
            <w:shd w:val="clear" w:color="auto" w:fill="auto"/>
            <w:vAlign w:val="center"/>
            <w:hideMark/>
          </w:tcPr>
          <w:p w:rsidR="008B16E8" w:rsidRPr="00B80C40" w:rsidRDefault="008B16E8" w:rsidP="00B8715B">
            <w:pPr>
              <w:spacing w:line="240" w:lineRule="auto"/>
              <w:ind w:hanging="19"/>
              <w:rPr>
                <w:i/>
                <w:color w:val="000000"/>
                <w:szCs w:val="24"/>
              </w:rPr>
            </w:pPr>
            <w:proofErr w:type="spellStart"/>
            <w:r w:rsidRPr="00B80C40">
              <w:rPr>
                <w:i/>
                <w:color w:val="000000"/>
                <w:szCs w:val="24"/>
              </w:rPr>
              <w:t>D</w:t>
            </w:r>
            <w:r w:rsidRPr="00B80C40">
              <w:rPr>
                <w:i/>
                <w:color w:val="000000"/>
                <w:szCs w:val="24"/>
                <w:vertAlign w:val="subscript"/>
              </w:rPr>
              <w:t>m</w:t>
            </w:r>
            <w:proofErr w:type="spellEnd"/>
          </w:p>
        </w:tc>
        <w:tc>
          <w:tcPr>
            <w:tcW w:w="3343"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35"/>
              <w:rPr>
                <w:color w:val="000000"/>
                <w:szCs w:val="24"/>
              </w:rPr>
            </w:pPr>
            <w:r w:rsidRPr="00AC010D">
              <w:rPr>
                <w:color w:val="000000"/>
                <w:szCs w:val="24"/>
              </w:rPr>
              <w:t>diffusivity of water in mesophyll</w:t>
            </w:r>
          </w:p>
        </w:tc>
        <w:tc>
          <w:tcPr>
            <w:tcW w:w="1664"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jc w:val="center"/>
              <w:rPr>
                <w:color w:val="000000"/>
                <w:szCs w:val="24"/>
              </w:rPr>
            </w:pPr>
            <w:r w:rsidRPr="00AC010D">
              <w:rPr>
                <w:color w:val="000000"/>
                <w:szCs w:val="24"/>
              </w:rPr>
              <w:t>m</w:t>
            </w:r>
            <w:r w:rsidRPr="00AC010D">
              <w:rPr>
                <w:color w:val="000000"/>
                <w:szCs w:val="24"/>
                <w:vertAlign w:val="superscript"/>
              </w:rPr>
              <w:t xml:space="preserve">2 </w:t>
            </w:r>
            <w:r w:rsidRPr="00AC010D">
              <w:rPr>
                <w:color w:val="000000"/>
                <w:szCs w:val="24"/>
              </w:rPr>
              <w:t>s</w:t>
            </w:r>
            <w:r w:rsidRPr="00AC010D">
              <w:rPr>
                <w:color w:val="000000"/>
                <w:szCs w:val="24"/>
                <w:vertAlign w:val="superscript"/>
              </w:rPr>
              <w:t>-1</w:t>
            </w:r>
          </w:p>
        </w:tc>
        <w:tc>
          <w:tcPr>
            <w:tcW w:w="1829"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jc w:val="center"/>
              <w:rPr>
                <w:color w:val="000000"/>
                <w:szCs w:val="24"/>
              </w:rPr>
            </w:pPr>
            <w:r w:rsidRPr="00AC010D">
              <w:rPr>
                <w:color w:val="000000"/>
                <w:szCs w:val="24"/>
              </w:rPr>
              <w:t>8.5 x 10</w:t>
            </w:r>
            <w:r w:rsidRPr="00AC010D">
              <w:rPr>
                <w:color w:val="000000"/>
                <w:szCs w:val="24"/>
                <w:vertAlign w:val="superscript"/>
              </w:rPr>
              <w:t xml:space="preserve">-10 </w:t>
            </w:r>
          </w:p>
        </w:tc>
        <w:tc>
          <w:tcPr>
            <w:tcW w:w="2352"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rPr>
                <w:color w:val="000000"/>
                <w:szCs w:val="24"/>
              </w:rPr>
            </w:pPr>
            <w:proofErr w:type="spellStart"/>
            <w:r w:rsidRPr="00AC010D">
              <w:rPr>
                <w:color w:val="000000"/>
                <w:szCs w:val="24"/>
              </w:rPr>
              <w:t>Noblin</w:t>
            </w:r>
            <w:proofErr w:type="spellEnd"/>
            <w:r w:rsidRPr="00AC010D">
              <w:rPr>
                <w:color w:val="000000"/>
                <w:szCs w:val="24"/>
              </w:rPr>
              <w:t xml:space="preserve"> et al.</w:t>
            </w:r>
            <w:r>
              <w:rPr>
                <w:color w:val="000000"/>
                <w:szCs w:val="24"/>
              </w:rPr>
              <w:t>,</w:t>
            </w:r>
            <w:r w:rsidRPr="00AC010D">
              <w:rPr>
                <w:color w:val="000000"/>
                <w:szCs w:val="24"/>
              </w:rPr>
              <w:t xml:space="preserve"> 2008</w:t>
            </w:r>
          </w:p>
        </w:tc>
      </w:tr>
      <w:tr w:rsidR="008B16E8" w:rsidRPr="00AC010D" w:rsidTr="00B8715B">
        <w:trPr>
          <w:gridAfter w:val="1"/>
          <w:wAfter w:w="24" w:type="dxa"/>
          <w:trHeight w:val="1035"/>
        </w:trPr>
        <w:tc>
          <w:tcPr>
            <w:tcW w:w="1134" w:type="dxa"/>
            <w:tcBorders>
              <w:top w:val="nil"/>
              <w:left w:val="nil"/>
              <w:bottom w:val="nil"/>
              <w:right w:val="nil"/>
            </w:tcBorders>
            <w:shd w:val="clear" w:color="auto" w:fill="auto"/>
            <w:vAlign w:val="center"/>
            <w:hideMark/>
          </w:tcPr>
          <w:p w:rsidR="008B16E8" w:rsidRPr="00B80C40" w:rsidRDefault="008B16E8" w:rsidP="00B8715B">
            <w:pPr>
              <w:spacing w:line="240" w:lineRule="auto"/>
              <w:ind w:hanging="19"/>
              <w:rPr>
                <w:i/>
                <w:color w:val="000000"/>
                <w:szCs w:val="24"/>
              </w:rPr>
            </w:pPr>
            <w:proofErr w:type="spellStart"/>
            <w:r w:rsidRPr="00B80C40">
              <w:rPr>
                <w:i/>
                <w:color w:val="000000"/>
                <w:szCs w:val="24"/>
              </w:rPr>
              <w:t>e</w:t>
            </w:r>
            <w:r w:rsidRPr="00B80C40">
              <w:rPr>
                <w:i/>
                <w:color w:val="000000"/>
                <w:szCs w:val="24"/>
                <w:vertAlign w:val="subscript"/>
              </w:rPr>
              <w:t>a</w:t>
            </w:r>
            <w:proofErr w:type="spellEnd"/>
          </w:p>
        </w:tc>
        <w:tc>
          <w:tcPr>
            <w:tcW w:w="3343"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35"/>
              <w:rPr>
                <w:color w:val="000000"/>
                <w:szCs w:val="24"/>
              </w:rPr>
            </w:pPr>
            <w:r w:rsidRPr="00AC010D">
              <w:rPr>
                <w:color w:val="000000"/>
                <w:szCs w:val="24"/>
              </w:rPr>
              <w:t>partial pressure water vapor of air at 25 °C</w:t>
            </w:r>
          </w:p>
        </w:tc>
        <w:tc>
          <w:tcPr>
            <w:tcW w:w="1664"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jc w:val="center"/>
              <w:rPr>
                <w:color w:val="000000"/>
                <w:szCs w:val="24"/>
              </w:rPr>
            </w:pPr>
            <w:r w:rsidRPr="00AC010D">
              <w:rPr>
                <w:color w:val="000000"/>
                <w:szCs w:val="24"/>
              </w:rPr>
              <w:t>Pa</w:t>
            </w:r>
          </w:p>
        </w:tc>
        <w:tc>
          <w:tcPr>
            <w:tcW w:w="1829"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jc w:val="center"/>
              <w:rPr>
                <w:color w:val="000000"/>
                <w:szCs w:val="24"/>
              </w:rPr>
            </w:pPr>
            <w:r w:rsidRPr="00AC010D">
              <w:rPr>
                <w:color w:val="000000"/>
                <w:szCs w:val="24"/>
              </w:rPr>
              <w:t>1584.5</w:t>
            </w:r>
          </w:p>
        </w:tc>
        <w:tc>
          <w:tcPr>
            <w:tcW w:w="2352"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rPr>
                <w:color w:val="000000"/>
                <w:szCs w:val="24"/>
              </w:rPr>
            </w:pPr>
            <w:r w:rsidRPr="00AC010D">
              <w:rPr>
                <w:color w:val="000000"/>
                <w:szCs w:val="24"/>
              </w:rPr>
              <w:t xml:space="preserve">calculated from relative humidity of 50% at 25 </w:t>
            </w:r>
            <w:proofErr w:type="spellStart"/>
            <w:r w:rsidRPr="00685A52">
              <w:rPr>
                <w:color w:val="000000"/>
                <w:szCs w:val="24"/>
                <w:vertAlign w:val="superscript"/>
              </w:rPr>
              <w:t>o</w:t>
            </w:r>
            <w:r>
              <w:rPr>
                <w:color w:val="000000"/>
                <w:szCs w:val="24"/>
              </w:rPr>
              <w:t>C</w:t>
            </w:r>
            <w:proofErr w:type="spellEnd"/>
          </w:p>
        </w:tc>
      </w:tr>
      <w:tr w:rsidR="008B16E8" w:rsidRPr="00AC010D" w:rsidTr="00B8715B">
        <w:trPr>
          <w:gridAfter w:val="1"/>
          <w:wAfter w:w="24" w:type="dxa"/>
          <w:trHeight w:val="510"/>
        </w:trPr>
        <w:tc>
          <w:tcPr>
            <w:tcW w:w="1134" w:type="dxa"/>
            <w:tcBorders>
              <w:top w:val="nil"/>
              <w:left w:val="nil"/>
              <w:bottom w:val="nil"/>
              <w:right w:val="nil"/>
            </w:tcBorders>
            <w:shd w:val="clear" w:color="auto" w:fill="auto"/>
            <w:vAlign w:val="center"/>
            <w:hideMark/>
          </w:tcPr>
          <w:p w:rsidR="008B16E8" w:rsidRPr="00B80C40" w:rsidRDefault="008B16E8" w:rsidP="00B8715B">
            <w:pPr>
              <w:spacing w:line="240" w:lineRule="auto"/>
              <w:ind w:hanging="19"/>
              <w:rPr>
                <w:i/>
                <w:color w:val="000000"/>
                <w:szCs w:val="24"/>
              </w:rPr>
            </w:pPr>
            <w:proofErr w:type="spellStart"/>
            <w:r w:rsidRPr="00B80C40">
              <w:rPr>
                <w:i/>
                <w:color w:val="000000"/>
                <w:szCs w:val="24"/>
              </w:rPr>
              <w:t>e</w:t>
            </w:r>
            <w:r w:rsidRPr="00B80C40">
              <w:rPr>
                <w:i/>
                <w:color w:val="000000"/>
                <w:szCs w:val="24"/>
                <w:vertAlign w:val="subscript"/>
              </w:rPr>
              <w:t>sat</w:t>
            </w:r>
            <w:proofErr w:type="spellEnd"/>
          </w:p>
        </w:tc>
        <w:tc>
          <w:tcPr>
            <w:tcW w:w="3343" w:type="dxa"/>
            <w:tcBorders>
              <w:top w:val="nil"/>
              <w:left w:val="nil"/>
              <w:bottom w:val="nil"/>
              <w:right w:val="nil"/>
            </w:tcBorders>
            <w:shd w:val="clear" w:color="auto" w:fill="auto"/>
            <w:hideMark/>
          </w:tcPr>
          <w:p w:rsidR="008B16E8" w:rsidRPr="00AC010D" w:rsidRDefault="008B16E8" w:rsidP="00B8715B">
            <w:pPr>
              <w:spacing w:line="240" w:lineRule="auto"/>
              <w:ind w:firstLine="35"/>
              <w:rPr>
                <w:color w:val="000000"/>
                <w:szCs w:val="24"/>
              </w:rPr>
            </w:pPr>
            <w:r w:rsidRPr="00AC010D">
              <w:rPr>
                <w:color w:val="000000"/>
                <w:szCs w:val="24"/>
              </w:rPr>
              <w:t>saturated water vapor pressure at 25°C</w:t>
            </w:r>
          </w:p>
        </w:tc>
        <w:tc>
          <w:tcPr>
            <w:tcW w:w="1664" w:type="dxa"/>
            <w:tcBorders>
              <w:top w:val="nil"/>
              <w:left w:val="nil"/>
              <w:bottom w:val="nil"/>
              <w:right w:val="nil"/>
            </w:tcBorders>
            <w:shd w:val="clear" w:color="auto" w:fill="auto"/>
            <w:hideMark/>
          </w:tcPr>
          <w:p w:rsidR="008B16E8" w:rsidRPr="00AC010D" w:rsidRDefault="008B16E8" w:rsidP="00B8715B">
            <w:pPr>
              <w:spacing w:line="240" w:lineRule="auto"/>
              <w:ind w:firstLine="0"/>
              <w:jc w:val="center"/>
              <w:rPr>
                <w:color w:val="000000"/>
                <w:szCs w:val="24"/>
              </w:rPr>
            </w:pPr>
            <w:r w:rsidRPr="00AC010D">
              <w:rPr>
                <w:color w:val="000000"/>
                <w:szCs w:val="24"/>
              </w:rPr>
              <w:t xml:space="preserve">Pa  </w:t>
            </w:r>
          </w:p>
        </w:tc>
        <w:tc>
          <w:tcPr>
            <w:tcW w:w="1829" w:type="dxa"/>
            <w:tcBorders>
              <w:top w:val="nil"/>
              <w:left w:val="nil"/>
              <w:bottom w:val="nil"/>
              <w:right w:val="nil"/>
            </w:tcBorders>
            <w:shd w:val="clear" w:color="auto" w:fill="auto"/>
            <w:hideMark/>
          </w:tcPr>
          <w:p w:rsidR="008B16E8" w:rsidRPr="00AC010D" w:rsidRDefault="008B16E8" w:rsidP="00B8715B">
            <w:pPr>
              <w:spacing w:line="240" w:lineRule="auto"/>
              <w:ind w:firstLine="0"/>
              <w:jc w:val="center"/>
              <w:rPr>
                <w:color w:val="000000"/>
                <w:szCs w:val="24"/>
              </w:rPr>
            </w:pPr>
            <w:r w:rsidRPr="00AC010D">
              <w:rPr>
                <w:color w:val="000000"/>
                <w:szCs w:val="24"/>
              </w:rPr>
              <w:t>3169</w:t>
            </w:r>
          </w:p>
        </w:tc>
        <w:tc>
          <w:tcPr>
            <w:tcW w:w="2352"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jc w:val="center"/>
              <w:rPr>
                <w:color w:val="000000"/>
                <w:szCs w:val="24"/>
              </w:rPr>
            </w:pPr>
          </w:p>
        </w:tc>
      </w:tr>
      <w:tr w:rsidR="008B16E8" w:rsidRPr="00AC010D" w:rsidTr="00B8715B">
        <w:trPr>
          <w:gridAfter w:val="1"/>
          <w:wAfter w:w="24" w:type="dxa"/>
          <w:trHeight w:val="510"/>
        </w:trPr>
        <w:tc>
          <w:tcPr>
            <w:tcW w:w="1134" w:type="dxa"/>
            <w:tcBorders>
              <w:top w:val="nil"/>
              <w:left w:val="nil"/>
              <w:bottom w:val="nil"/>
              <w:right w:val="nil"/>
            </w:tcBorders>
            <w:shd w:val="clear" w:color="auto" w:fill="auto"/>
            <w:vAlign w:val="center"/>
          </w:tcPr>
          <w:p w:rsidR="008B16E8" w:rsidRPr="00B80C40" w:rsidRDefault="008B16E8" w:rsidP="00B8715B">
            <w:pPr>
              <w:spacing w:line="240" w:lineRule="auto"/>
              <w:ind w:hanging="19"/>
              <w:rPr>
                <w:i/>
                <w:color w:val="000000"/>
                <w:szCs w:val="24"/>
              </w:rPr>
            </w:pPr>
            <w:proofErr w:type="spellStart"/>
            <w:r w:rsidRPr="00B80C40">
              <w:rPr>
                <w:i/>
                <w:color w:val="000000"/>
                <w:szCs w:val="24"/>
              </w:rPr>
              <w:t>k</w:t>
            </w:r>
            <w:r w:rsidRPr="00B80C40">
              <w:rPr>
                <w:i/>
                <w:color w:val="000000"/>
                <w:szCs w:val="24"/>
                <w:vertAlign w:val="subscript"/>
              </w:rPr>
              <w:t>Z</w:t>
            </w:r>
            <w:proofErr w:type="spellEnd"/>
          </w:p>
        </w:tc>
        <w:tc>
          <w:tcPr>
            <w:tcW w:w="3343" w:type="dxa"/>
            <w:tcBorders>
              <w:top w:val="nil"/>
              <w:left w:val="nil"/>
              <w:bottom w:val="nil"/>
              <w:right w:val="nil"/>
            </w:tcBorders>
            <w:shd w:val="clear" w:color="auto" w:fill="auto"/>
          </w:tcPr>
          <w:p w:rsidR="008B16E8" w:rsidRPr="00AC010D" w:rsidRDefault="008B16E8" w:rsidP="00B8715B">
            <w:pPr>
              <w:spacing w:line="240" w:lineRule="auto"/>
              <w:ind w:firstLine="35"/>
              <w:rPr>
                <w:color w:val="000000"/>
                <w:szCs w:val="24"/>
              </w:rPr>
            </w:pPr>
          </w:p>
        </w:tc>
        <w:tc>
          <w:tcPr>
            <w:tcW w:w="1664" w:type="dxa"/>
            <w:tcBorders>
              <w:top w:val="nil"/>
              <w:left w:val="nil"/>
              <w:bottom w:val="nil"/>
              <w:right w:val="nil"/>
            </w:tcBorders>
            <w:shd w:val="clear" w:color="auto" w:fill="auto"/>
          </w:tcPr>
          <w:p w:rsidR="008B16E8" w:rsidRPr="00AC010D" w:rsidRDefault="008B16E8" w:rsidP="00B8715B">
            <w:pPr>
              <w:spacing w:line="240" w:lineRule="auto"/>
              <w:ind w:firstLine="0"/>
              <w:jc w:val="center"/>
              <w:rPr>
                <w:color w:val="000000"/>
                <w:szCs w:val="24"/>
              </w:rPr>
            </w:pPr>
          </w:p>
        </w:tc>
        <w:tc>
          <w:tcPr>
            <w:tcW w:w="1829" w:type="dxa"/>
            <w:tcBorders>
              <w:top w:val="nil"/>
              <w:left w:val="nil"/>
              <w:bottom w:val="nil"/>
              <w:right w:val="nil"/>
            </w:tcBorders>
            <w:shd w:val="clear" w:color="auto" w:fill="auto"/>
          </w:tcPr>
          <w:p w:rsidR="008B16E8" w:rsidRPr="00AC010D" w:rsidRDefault="008B16E8" w:rsidP="00B8715B">
            <w:pPr>
              <w:spacing w:line="240" w:lineRule="auto"/>
              <w:ind w:firstLine="0"/>
              <w:jc w:val="center"/>
              <w:rPr>
                <w:color w:val="000000"/>
                <w:szCs w:val="24"/>
              </w:rPr>
            </w:pPr>
            <w:r>
              <w:rPr>
                <w:color w:val="000000"/>
                <w:szCs w:val="24"/>
              </w:rPr>
              <w:t>1</w:t>
            </w:r>
          </w:p>
        </w:tc>
        <w:tc>
          <w:tcPr>
            <w:tcW w:w="2352" w:type="dxa"/>
            <w:tcBorders>
              <w:top w:val="nil"/>
              <w:left w:val="nil"/>
              <w:bottom w:val="nil"/>
              <w:right w:val="nil"/>
            </w:tcBorders>
            <w:shd w:val="clear" w:color="auto" w:fill="auto"/>
            <w:vAlign w:val="center"/>
          </w:tcPr>
          <w:p w:rsidR="008B16E8" w:rsidRPr="00AC010D" w:rsidRDefault="008B16E8" w:rsidP="00B8715B">
            <w:pPr>
              <w:spacing w:line="240" w:lineRule="auto"/>
              <w:ind w:firstLine="0"/>
              <w:jc w:val="center"/>
              <w:rPr>
                <w:color w:val="000000"/>
                <w:szCs w:val="24"/>
              </w:rPr>
            </w:pPr>
          </w:p>
        </w:tc>
      </w:tr>
      <w:tr w:rsidR="008B16E8" w:rsidRPr="00AC010D" w:rsidTr="00B8715B">
        <w:trPr>
          <w:gridAfter w:val="1"/>
          <w:wAfter w:w="24" w:type="dxa"/>
          <w:trHeight w:val="510"/>
        </w:trPr>
        <w:tc>
          <w:tcPr>
            <w:tcW w:w="1134" w:type="dxa"/>
            <w:tcBorders>
              <w:top w:val="nil"/>
              <w:left w:val="nil"/>
              <w:bottom w:val="nil"/>
              <w:right w:val="nil"/>
            </w:tcBorders>
            <w:shd w:val="clear" w:color="auto" w:fill="auto"/>
            <w:vAlign w:val="center"/>
          </w:tcPr>
          <w:p w:rsidR="008B16E8" w:rsidRPr="00B80C40" w:rsidRDefault="008B16E8" w:rsidP="00B8715B">
            <w:pPr>
              <w:spacing w:line="240" w:lineRule="auto"/>
              <w:ind w:hanging="19"/>
              <w:rPr>
                <w:i/>
                <w:color w:val="000000"/>
                <w:szCs w:val="24"/>
              </w:rPr>
            </w:pPr>
            <w:r w:rsidRPr="00B80C40">
              <w:rPr>
                <w:i/>
                <w:color w:val="000000"/>
                <w:szCs w:val="24"/>
              </w:rPr>
              <w:t>R</w:t>
            </w:r>
          </w:p>
        </w:tc>
        <w:tc>
          <w:tcPr>
            <w:tcW w:w="3343" w:type="dxa"/>
            <w:shd w:val="clear" w:color="auto" w:fill="auto"/>
            <w:vAlign w:val="center"/>
          </w:tcPr>
          <w:p w:rsidR="008B16E8" w:rsidRPr="00AC010D" w:rsidRDefault="008B16E8" w:rsidP="00B8715B">
            <w:pPr>
              <w:spacing w:line="240" w:lineRule="auto"/>
              <w:ind w:firstLine="35"/>
              <w:rPr>
                <w:color w:val="000000"/>
                <w:szCs w:val="24"/>
              </w:rPr>
            </w:pPr>
            <w:r>
              <w:rPr>
                <w:rFonts w:eastAsiaTheme="minorEastAsia"/>
                <w:color w:val="000000"/>
                <w:szCs w:val="24"/>
                <w:lang w:val="en-CA" w:eastAsia="zh-CN"/>
              </w:rPr>
              <w:t xml:space="preserve">carbon cost per leaf volume (the sum of </w:t>
            </w:r>
            <w:r w:rsidRPr="00B80C40">
              <w:rPr>
                <w:rFonts w:eastAsiaTheme="minorEastAsia"/>
                <w:i/>
                <w:color w:val="000000"/>
                <w:szCs w:val="24"/>
                <w:lang w:val="en-CA" w:eastAsia="zh-CN"/>
              </w:rPr>
              <w:t>R</w:t>
            </w:r>
            <w:r w:rsidRPr="00B80C40">
              <w:rPr>
                <w:rFonts w:eastAsiaTheme="minorEastAsia"/>
                <w:i/>
                <w:color w:val="000000"/>
                <w:szCs w:val="24"/>
                <w:vertAlign w:val="subscript"/>
                <w:lang w:val="en-CA" w:eastAsia="zh-CN"/>
              </w:rPr>
              <w:t>C</w:t>
            </w:r>
            <w:r>
              <w:rPr>
                <w:rFonts w:eastAsiaTheme="minorEastAsia"/>
                <w:color w:val="000000"/>
                <w:szCs w:val="24"/>
                <w:lang w:val="en-CA" w:eastAsia="zh-CN"/>
              </w:rPr>
              <w:t xml:space="preserve"> and </w:t>
            </w:r>
            <w:r w:rsidRPr="00B80C40">
              <w:rPr>
                <w:rFonts w:eastAsiaTheme="minorEastAsia"/>
                <w:i/>
                <w:color w:val="000000"/>
                <w:szCs w:val="24"/>
                <w:lang w:val="en-CA" w:eastAsia="zh-CN"/>
              </w:rPr>
              <w:t>R</w:t>
            </w:r>
            <w:r w:rsidRPr="00B80C40">
              <w:rPr>
                <w:rFonts w:eastAsiaTheme="minorEastAsia"/>
                <w:i/>
                <w:color w:val="000000"/>
                <w:szCs w:val="24"/>
                <w:vertAlign w:val="subscript"/>
                <w:lang w:val="en-CA" w:eastAsia="zh-CN"/>
              </w:rPr>
              <w:t>R</w:t>
            </w:r>
            <w:r>
              <w:rPr>
                <w:rFonts w:eastAsiaTheme="minorEastAsia"/>
                <w:color w:val="000000"/>
                <w:szCs w:val="24"/>
                <w:lang w:val="en-CA" w:eastAsia="zh-CN"/>
              </w:rPr>
              <w:t>)</w:t>
            </w:r>
          </w:p>
        </w:tc>
        <w:tc>
          <w:tcPr>
            <w:tcW w:w="1664" w:type="dxa"/>
            <w:shd w:val="clear" w:color="auto" w:fill="auto"/>
            <w:vAlign w:val="center"/>
          </w:tcPr>
          <w:p w:rsidR="008B16E8" w:rsidRPr="00AC010D" w:rsidRDefault="008B16E8" w:rsidP="00B8715B">
            <w:pPr>
              <w:spacing w:line="240" w:lineRule="auto"/>
              <w:ind w:firstLine="0"/>
              <w:jc w:val="center"/>
              <w:rPr>
                <w:color w:val="000000"/>
                <w:szCs w:val="24"/>
              </w:rPr>
            </w:pPr>
            <w:proofErr w:type="spellStart"/>
            <w:r w:rsidRPr="005046F9">
              <w:rPr>
                <w:rFonts w:eastAsiaTheme="minorEastAsia"/>
                <w:color w:val="000000"/>
                <w:szCs w:val="24"/>
                <w:lang w:val="en-CA" w:eastAsia="zh-CN"/>
              </w:rPr>
              <w:t>mol</w:t>
            </w:r>
            <w:proofErr w:type="spellEnd"/>
            <w:r w:rsidRPr="005046F9">
              <w:rPr>
                <w:rFonts w:eastAsiaTheme="minorEastAsia"/>
                <w:color w:val="000000"/>
                <w:szCs w:val="24"/>
                <w:lang w:val="en-CA" w:eastAsia="zh-CN"/>
              </w:rPr>
              <w:t xml:space="preserve"> m</w:t>
            </w:r>
            <w:r>
              <w:rPr>
                <w:rFonts w:eastAsiaTheme="minorEastAsia"/>
                <w:color w:val="000000"/>
                <w:szCs w:val="24"/>
                <w:vertAlign w:val="superscript"/>
                <w:lang w:val="en-CA" w:eastAsia="zh-CN"/>
              </w:rPr>
              <w:t>-3</w:t>
            </w:r>
            <w:r w:rsidRPr="005046F9">
              <w:rPr>
                <w:rFonts w:eastAsiaTheme="minorEastAsia"/>
                <w:color w:val="000000"/>
                <w:szCs w:val="24"/>
                <w:lang w:val="en-CA" w:eastAsia="zh-CN"/>
              </w:rPr>
              <w:t xml:space="preserve"> s</w:t>
            </w:r>
            <w:r>
              <w:rPr>
                <w:rFonts w:eastAsiaTheme="minorEastAsia"/>
                <w:color w:val="000000"/>
                <w:szCs w:val="24"/>
                <w:vertAlign w:val="superscript"/>
                <w:lang w:val="en-CA" w:eastAsia="zh-CN"/>
              </w:rPr>
              <w:t>-1</w:t>
            </w:r>
          </w:p>
        </w:tc>
        <w:tc>
          <w:tcPr>
            <w:tcW w:w="1829" w:type="dxa"/>
            <w:tcBorders>
              <w:top w:val="nil"/>
              <w:left w:val="nil"/>
              <w:bottom w:val="nil"/>
              <w:right w:val="nil"/>
            </w:tcBorders>
            <w:shd w:val="clear" w:color="auto" w:fill="auto"/>
          </w:tcPr>
          <w:p w:rsidR="008B16E8" w:rsidRPr="00AC010D" w:rsidRDefault="008B16E8" w:rsidP="00B8715B">
            <w:pPr>
              <w:spacing w:before="240" w:line="240" w:lineRule="auto"/>
              <w:ind w:firstLine="0"/>
              <w:jc w:val="center"/>
              <w:rPr>
                <w:color w:val="000000"/>
                <w:szCs w:val="24"/>
              </w:rPr>
            </w:pPr>
            <w:r>
              <w:rPr>
                <w:color w:val="000000"/>
                <w:szCs w:val="24"/>
              </w:rPr>
              <w:t>0.9 x 10</w:t>
            </w:r>
            <w:r w:rsidRPr="00546EE1">
              <w:rPr>
                <w:color w:val="000000"/>
                <w:szCs w:val="24"/>
                <w:vertAlign w:val="superscript"/>
              </w:rPr>
              <w:t>-6</w:t>
            </w:r>
          </w:p>
        </w:tc>
        <w:tc>
          <w:tcPr>
            <w:tcW w:w="2352" w:type="dxa"/>
            <w:tcBorders>
              <w:top w:val="nil"/>
              <w:left w:val="nil"/>
              <w:bottom w:val="nil"/>
              <w:right w:val="nil"/>
            </w:tcBorders>
            <w:shd w:val="clear" w:color="auto" w:fill="auto"/>
            <w:vAlign w:val="center"/>
          </w:tcPr>
          <w:p w:rsidR="008B16E8" w:rsidRPr="00AC010D" w:rsidRDefault="008B16E8" w:rsidP="00B8715B">
            <w:pPr>
              <w:spacing w:line="240" w:lineRule="auto"/>
              <w:ind w:firstLine="0"/>
              <w:rPr>
                <w:color w:val="000000"/>
                <w:szCs w:val="24"/>
              </w:rPr>
            </w:pPr>
            <w:r>
              <w:rPr>
                <w:color w:val="000000"/>
                <w:szCs w:val="24"/>
              </w:rPr>
              <w:t xml:space="preserve">Fig. 6.3 in </w:t>
            </w:r>
            <w:r>
              <w:rPr>
                <w:color w:val="000000"/>
                <w:szCs w:val="24"/>
              </w:rPr>
              <w:fldChar w:fldCharType="begin" w:fldLock="1"/>
            </w:r>
            <w:r>
              <w:rPr>
                <w:color w:val="000000"/>
                <w:szCs w:val="24"/>
              </w:rPr>
              <w:instrText>ADDIN CSL_CITATION {"citationItems":[{"id":"ITEM-1","itemData":{"ISBN":"9781441995032","author":[{"dropping-particle":"","family":"Chapin","given":"F. Stuart","non-dropping-particle":"","parse-names":false,"suffix":""},{"dropping-particle":"","family":"Matson","given":"Pamela","non-dropping-particle":"","parse-names":false,"suffix":""},{"dropping-particle":"","family":"Vitousek","given":"Peter M","non-dropping-particle":"","parse-names":false,"suffix":""}],"edition":"second","id":"ITEM-1","issued":{"date-parts":[["2011"]]},"publisher":"Springer New York","publisher-place":"New York, NY","title":"Principles of Terrestrial Ecosystem Ecology","type":"book"},"uris":["http://www.mendeley.com/documents/?uuid=0653f2b9-577e-4799-b35a-6d17a89d4c9c"]}],"mendeley":{"formattedCitation":"(Chapin, Matson, and Vitousek 2011)","manualFormatting":"Chapin, Matson, and Vitousek 2011","plainTextFormattedCitation":"(Chapin, Matson, and Vitousek 2011)","previouslyFormattedCitation":"(Chapin, Matson, and Vitousek 2011)"},"properties":{"noteIndex":0},"schema":"https://github.com/citation-style-language/schema/raw/master/csl-citation.json"}</w:instrText>
            </w:r>
            <w:r>
              <w:rPr>
                <w:color w:val="000000"/>
                <w:szCs w:val="24"/>
              </w:rPr>
              <w:fldChar w:fldCharType="separate"/>
            </w:r>
            <w:r w:rsidRPr="00712367">
              <w:rPr>
                <w:noProof/>
                <w:color w:val="000000"/>
                <w:szCs w:val="24"/>
              </w:rPr>
              <w:t>Chapin, Matson, and Vitousek 2011</w:t>
            </w:r>
            <w:r>
              <w:rPr>
                <w:color w:val="000000"/>
                <w:szCs w:val="24"/>
              </w:rPr>
              <w:fldChar w:fldCharType="end"/>
            </w:r>
            <w:r>
              <w:rPr>
                <w:color w:val="000000"/>
                <w:szCs w:val="24"/>
              </w:rPr>
              <w:t xml:space="preserve">; </w:t>
            </w:r>
            <w:r>
              <w:rPr>
                <w:color w:val="000000"/>
                <w:szCs w:val="24"/>
              </w:rPr>
              <w:fldChar w:fldCharType="begin" w:fldLock="1"/>
            </w:r>
            <w:r>
              <w:rPr>
                <w:color w:val="000000"/>
                <w:szCs w:val="24"/>
              </w:rPr>
              <w:instrText>ADDIN CSL_CITATION {"citationItems":[{"id":"ITEM-1","itemData":{"DOI":"10.1104/pp.17.00610","ISBN":"0000000310","ISSN":"0032-0889","PMID":"28615345","abstract":"© 2017 American Society of Plant Biologists. All Rights Reserved. Plant respiration can theoretically be fueled by and dependent upon an array of central metabolism components; however, which ones are responsible for the quantitative variation found in respiratory rates is unknown. Here, large-scale screens revealed 2-fold variation in nighttime leaf respiration rate (R N ) among mature leaves from an Arabidopsis (Arabidopsis thaliana) natural accession collection grown under common favorable conditions. R N  variation was mostly maintained in the absence of genetic variation, which emphasized the low heritability of R N  and its plasticity toward relatively small environmental differences within the sampling regime. To pursue metabolic explanatio ns for leaf R N  variation, parallel metabolite level profiling and assays of total protein and starch were performed. Within an accession, R N  correlated strongly with stored carbon substrates, including starch and dicarboxylic acids, as well as sucrose, major amino acids, shikimate, and salicylic acid. Among different accessions, metabolite-R N  correlations were maintained with protein, sucrose, and major amino acids but not stored carbon substrates. A complementary screen of the effect of exogenous metabolites and effectors on leaf R N  revealed that (1) R N  is stimulated by the uncoupler FCCP and high levels of substrates, demonstrating that both adenylate turnover and substrate supply can limit leaf R N , and (2) inorganic nitrogen did not stimulate R N , consistent with limited nighttime nitrogen assimilation. Simultaneous measurements of R N  and protein synthesis revealed that these processes were largely uncorrelated in mature leaves. These results indicate that differences in preceding daytime metabolic activities are the major source of variation in mature leaf R N  under favorable controlled conditions.","author":[{"dropping-particle":"","family":"O’Leary","given":"Brendan M.","non-dropping-particle":"","parse-names":false,"suffix":""},{"dropping-particle":"","family":"Lee","given":"Chun Pong","non-dropping-particle":"","parse-names":false,"suffix":""},{"dropping-particle":"","family":"Atkin","given":"Owen K.","non-dropping-particle":"","parse-names":false,"suffix":""},{"dropping-particle":"","family":"Cheng","given":"Riyan","non-dropping-particle":"","parse-names":false,"suffix":""},{"dropping-particle":"","family":"Brown","given":"Tim B.","non-dropping-particle":"","parse-names":false,"suffix":""},{"dropping-particle":"","family":"Millar","given":"a. Harvey","non-dropping-particle":"","parse-names":false,"suffix":""}],"container-title":"Plant Physiology","id":"ITEM-1","issue":"4","issued":{"date-parts":[["2017"]]},"page":"2261-2273","title":"Variation in Leaf Respiration Rates at Night Correlates with Carbohydrate and Amino Acid Supply","type":"article-journal","volume":"174"},"uris":["http://www.mendeley.com/documents/?uuid=633a053e-4488-40c5-9a39-486fa1168162"]}],"mendeley":{"formattedCitation":"(O’Leary et al. 2017)","manualFormatting":"O’Leary et al. 2017","plainTextFormattedCitation":"(O’Leary et al. 2017)","previouslyFormattedCitation":"(O’Leary et al. 2017)"},"properties":{"noteIndex":0},"schema":"https://github.com/citation-style-language/schema/raw/master/csl-citation.json"}</w:instrText>
            </w:r>
            <w:r>
              <w:rPr>
                <w:color w:val="000000"/>
                <w:szCs w:val="24"/>
              </w:rPr>
              <w:fldChar w:fldCharType="separate"/>
            </w:r>
            <w:r w:rsidRPr="00BF0BF6">
              <w:rPr>
                <w:noProof/>
                <w:color w:val="000000"/>
                <w:szCs w:val="24"/>
              </w:rPr>
              <w:t>O’Leary et al. 2017</w:t>
            </w:r>
            <w:r>
              <w:rPr>
                <w:color w:val="000000"/>
                <w:szCs w:val="24"/>
              </w:rPr>
              <w:fldChar w:fldCharType="end"/>
            </w:r>
          </w:p>
        </w:tc>
      </w:tr>
      <w:tr w:rsidR="008B16E8" w:rsidRPr="00AC010D" w:rsidTr="00B8715B">
        <w:trPr>
          <w:gridAfter w:val="1"/>
          <w:wAfter w:w="24" w:type="dxa"/>
          <w:trHeight w:val="690"/>
        </w:trPr>
        <w:tc>
          <w:tcPr>
            <w:tcW w:w="1134" w:type="dxa"/>
            <w:tcBorders>
              <w:top w:val="nil"/>
              <w:left w:val="nil"/>
              <w:bottom w:val="nil"/>
              <w:right w:val="nil"/>
            </w:tcBorders>
            <w:shd w:val="clear" w:color="auto" w:fill="auto"/>
            <w:vAlign w:val="center"/>
          </w:tcPr>
          <w:p w:rsidR="008B16E8" w:rsidRPr="00B80C40" w:rsidRDefault="008B16E8" w:rsidP="00B8715B">
            <w:pPr>
              <w:spacing w:line="240" w:lineRule="auto"/>
              <w:ind w:hanging="19"/>
              <w:rPr>
                <w:i/>
                <w:color w:val="000000"/>
                <w:szCs w:val="24"/>
              </w:rPr>
            </w:pPr>
            <w:proofErr w:type="spellStart"/>
            <w:r w:rsidRPr="00B80C40">
              <w:rPr>
                <w:i/>
                <w:color w:val="000000"/>
                <w:sz w:val="28"/>
                <w:szCs w:val="28"/>
              </w:rPr>
              <w:t>r</w:t>
            </w:r>
            <w:r w:rsidRPr="00B80C40">
              <w:rPr>
                <w:i/>
                <w:color w:val="000000"/>
                <w:szCs w:val="24"/>
                <w:vertAlign w:val="subscript"/>
              </w:rPr>
              <w:t>T</w:t>
            </w:r>
            <w:proofErr w:type="spellEnd"/>
          </w:p>
        </w:tc>
        <w:tc>
          <w:tcPr>
            <w:tcW w:w="3343" w:type="dxa"/>
            <w:tcBorders>
              <w:top w:val="nil"/>
              <w:left w:val="nil"/>
              <w:bottom w:val="nil"/>
              <w:right w:val="nil"/>
            </w:tcBorders>
            <w:shd w:val="clear" w:color="auto" w:fill="auto"/>
            <w:vAlign w:val="center"/>
          </w:tcPr>
          <w:p w:rsidR="008B16E8" w:rsidRPr="00AC010D" w:rsidRDefault="008B16E8" w:rsidP="00B8715B">
            <w:pPr>
              <w:spacing w:line="240" w:lineRule="auto"/>
              <w:ind w:hanging="99"/>
              <w:rPr>
                <w:color w:val="000000"/>
                <w:szCs w:val="24"/>
              </w:rPr>
            </w:pPr>
            <w:r w:rsidRPr="00AC010D">
              <w:rPr>
                <w:color w:val="000000"/>
                <w:szCs w:val="24"/>
              </w:rPr>
              <w:t>radius of xylem conduit of terminal vein</w:t>
            </w:r>
          </w:p>
        </w:tc>
        <w:tc>
          <w:tcPr>
            <w:tcW w:w="1664" w:type="dxa"/>
            <w:tcBorders>
              <w:top w:val="nil"/>
              <w:left w:val="nil"/>
              <w:bottom w:val="nil"/>
              <w:right w:val="nil"/>
            </w:tcBorders>
            <w:shd w:val="clear" w:color="auto" w:fill="auto"/>
            <w:vAlign w:val="center"/>
          </w:tcPr>
          <w:p w:rsidR="008B16E8" w:rsidRPr="00AC010D" w:rsidRDefault="008B16E8" w:rsidP="00B8715B">
            <w:pPr>
              <w:spacing w:line="240" w:lineRule="auto"/>
              <w:ind w:hanging="99"/>
              <w:jc w:val="center"/>
              <w:rPr>
                <w:color w:val="000000"/>
                <w:szCs w:val="24"/>
              </w:rPr>
            </w:pPr>
            <w:r w:rsidRPr="00AC010D">
              <w:rPr>
                <w:color w:val="000000"/>
                <w:szCs w:val="24"/>
              </w:rPr>
              <w:t xml:space="preserve">m </w:t>
            </w:r>
          </w:p>
        </w:tc>
        <w:tc>
          <w:tcPr>
            <w:tcW w:w="1829" w:type="dxa"/>
            <w:tcBorders>
              <w:top w:val="nil"/>
              <w:left w:val="nil"/>
              <w:bottom w:val="nil"/>
              <w:right w:val="nil"/>
            </w:tcBorders>
            <w:shd w:val="clear" w:color="auto" w:fill="auto"/>
            <w:vAlign w:val="center"/>
          </w:tcPr>
          <w:p w:rsidR="008B16E8" w:rsidRPr="00AC010D" w:rsidRDefault="008B16E8" w:rsidP="00B8715B">
            <w:pPr>
              <w:spacing w:line="240" w:lineRule="auto"/>
              <w:ind w:hanging="99"/>
              <w:jc w:val="center"/>
              <w:rPr>
                <w:color w:val="000000"/>
                <w:szCs w:val="24"/>
              </w:rPr>
            </w:pPr>
            <w:r>
              <w:rPr>
                <w:color w:val="000000"/>
                <w:szCs w:val="24"/>
              </w:rPr>
              <w:t>3</w:t>
            </w:r>
            <w:r w:rsidRPr="00AC010D">
              <w:rPr>
                <w:color w:val="000000"/>
                <w:szCs w:val="24"/>
              </w:rPr>
              <w:t xml:space="preserve"> x 10</w:t>
            </w:r>
            <w:r w:rsidRPr="00AC010D">
              <w:rPr>
                <w:color w:val="000000"/>
                <w:szCs w:val="24"/>
                <w:vertAlign w:val="superscript"/>
              </w:rPr>
              <w:t>-6</w:t>
            </w:r>
          </w:p>
        </w:tc>
        <w:tc>
          <w:tcPr>
            <w:tcW w:w="2352" w:type="dxa"/>
            <w:tcBorders>
              <w:top w:val="nil"/>
              <w:left w:val="nil"/>
              <w:bottom w:val="nil"/>
              <w:right w:val="nil"/>
            </w:tcBorders>
            <w:shd w:val="clear" w:color="auto" w:fill="auto"/>
            <w:vAlign w:val="center"/>
          </w:tcPr>
          <w:p w:rsidR="008B16E8" w:rsidRPr="00AC010D" w:rsidRDefault="008B16E8" w:rsidP="00B8715B">
            <w:pPr>
              <w:spacing w:line="240" w:lineRule="auto"/>
              <w:ind w:hanging="99"/>
              <w:rPr>
                <w:color w:val="000000"/>
                <w:szCs w:val="24"/>
              </w:rPr>
            </w:pPr>
            <w:r>
              <w:rPr>
                <w:color w:val="000000"/>
                <w:szCs w:val="24"/>
              </w:rPr>
              <w:fldChar w:fldCharType="begin" w:fldLock="1"/>
            </w:r>
            <w:r>
              <w:rPr>
                <w:color w:val="000000"/>
                <w:szCs w:val="24"/>
              </w:rPr>
              <w:instrText>ADDIN CSL_CITATION {"citationItems":[{"id":"ITEM-1","itemData":{"DOI":"10.1111/j.1469-8137.2010.03439.x","ISBN":"1469-8137","ISSN":"0028646X","PMID":"20738785","abstract":"Summary: Hydraulic dysfunction in leaves determines key aspects of whole-plant responses to water stress; however, our understanding of the physiology of hydraulic dysfunction and its relationships to leaf structure and ecological strategy remains incomplete. Here, we studied a morphologically and ecologically diverse sample of angiosperms to test whether the water potential inducing a 50% loss in leaf hydraulic conductance (P50leaf) is predicted by properties of leaf xylem relating to water tension-induced conduit collapse. We also assessed the relationships between P50leaf and other traits considered to reflect drought resistance and ecological strategy. Across species, P50leaf was strongly correlated with a theoretical predictor of vulnerability to cell collapse in minor veins (the cubed ratio of the conduit wall thickness to the conduit lumen breadth). P50leaf was also correlated with mesophyll traits known to be related to drought resistance, but unrelated to traits associated with carbon economy. Our data indicate a link between the structural mechanics of leaf xylem and hydraulic function under water stress. Although it is possible that collapse may contribute directly to dysfunction, this relationship may also be a secondary product of vascular economics, suggesting that leaf xylem is dimensioned to avoid wall collapse. © The Authors (2010). Journal compilation © New Phytologist Trust (2010).","author":[{"dropping-particle":"","family":"Blackman","given":"Christopher J.","non-dropping-particle":"","parse-names":false,"suffix":""},{"dropping-particle":"","family":"Brodribb","given":"Tim J.","non-dropping-particle":"","parse-names":false,"suffix":""},{"dropping-particle":"","family":"Jordan","given":"Gregory J.","non-dropping-particle":"","parse-names":false,"suffix":""}],"container-title":"New Phytologist","id":"ITEM-1","issue":"4","issued":{"date-parts":[["2010"]]},"page":"1113-1123","title":"Leaf hydraulic vulnerability is related to conduit dimensions and drought resistance across a diverse range of woody angiosperms","type":"article-journal","volume":"188"},"uris":["http://www.mendeley.com/documents/?uuid=8c290178-92f7-4f83-8c00-f40a0a092c37"]}],"mendeley":{"formattedCitation":"(Blackman, Brodribb, and Jordan 2010)","manualFormatting":"Blackman, Brodribb, and Jordan, 2010","plainTextFormattedCitation":"(Blackman, Brodribb, and Jordan 2010)","previouslyFormattedCitation":"(Blackman, Brodribb, and Jordan 2010)"},"properties":{"noteIndex":0},"schema":"https://github.com/citation-style-language/schema/raw/master/csl-citation.json"}</w:instrText>
            </w:r>
            <w:r>
              <w:rPr>
                <w:color w:val="000000"/>
                <w:szCs w:val="24"/>
              </w:rPr>
              <w:fldChar w:fldCharType="separate"/>
            </w:r>
            <w:r w:rsidRPr="00D603BD">
              <w:rPr>
                <w:noProof/>
                <w:color w:val="000000"/>
                <w:szCs w:val="24"/>
              </w:rPr>
              <w:t>Blackman, Brodribb, and Jordan</w:t>
            </w:r>
            <w:r>
              <w:rPr>
                <w:noProof/>
                <w:color w:val="000000"/>
                <w:szCs w:val="24"/>
              </w:rPr>
              <w:t>,</w:t>
            </w:r>
            <w:r w:rsidRPr="00D603BD">
              <w:rPr>
                <w:noProof/>
                <w:color w:val="000000"/>
                <w:szCs w:val="24"/>
              </w:rPr>
              <w:t xml:space="preserve"> 2010</w:t>
            </w:r>
            <w:r>
              <w:rPr>
                <w:color w:val="000000"/>
                <w:szCs w:val="24"/>
              </w:rPr>
              <w:fldChar w:fldCharType="end"/>
            </w:r>
            <w:r w:rsidRPr="00AC010D">
              <w:rPr>
                <w:color w:val="000000"/>
                <w:szCs w:val="24"/>
              </w:rPr>
              <w:t xml:space="preserve">; </w:t>
            </w:r>
            <w:r>
              <w:rPr>
                <w:color w:val="000000"/>
                <w:szCs w:val="24"/>
              </w:rPr>
              <w:fldChar w:fldCharType="begin" w:fldLock="1"/>
            </w:r>
            <w:r>
              <w:rPr>
                <w:color w:val="000000"/>
                <w:szCs w:val="24"/>
              </w:rPr>
              <w:instrText>ADDIN CSL_CITATION {"citationItems":[{"id":"ITEM-1","itemData":{"DOI":"10.1086/593111","ISBN":"1058-5893","ISSN":"10585893, 15375315","abstract":"Linkages among leaf traits and environment have most often been tested across communities but infrequently within lineages. We studied seven endemic Hawaiian Plantago taxa radiated across elevations, climates, and habitats.We grew plants of six taxa in controlled conditions for 1–2 yr and collected leaves from a seventh in the field. For all taxa, we measured 46 leaf traits and tested hypotheses for trait-environment and trait-trait associations. Because of the rarity of the study plants, our study included low replication within taxa and multiple growth locations; despite these limitations, given reasonable assumptions, our analyses pointed to genetic differentiation among taxa. The leaves of bog taxa were smaller and thicker than those of woodland taxa, with higher leaf mass per area (LMA), stomatal pore area per leaf area, and carbon isotope discrimination (d13C).Taxa from higher elevations had thicker leaves and higher LMA,as well as lower nitrogen per mass and higher adaxial stomatal distribution.Taxa of drier sites had higher vein density andd13C.Manytraits were allometrically related to leaf area, including stomatal density, major vein densities, and xylem conduit numbers and dimensions. Stomatal and xylem traits were correlated, indicating a matching of hydraulic supply and demand. Leaf diversification in Hawaiian Plantago involved coordinated trait shifts, generating strong, apparently adaptive trait linkages.","author":[{"dropping-particle":"","family":"Dunbar-co","given":"Stephanie","non-dropping-particle":"","parse-names":false,"suffix":""},{"dropping-particle":"","family":"Sporck","given":"Margaret J","non-dropping-particle":"","parse-names":false,"suffix":""},{"dropping-particle":"","family":"Sack","given":"Lawren","non-dropping-particle":"","parse-names":false,"suffix":""}],"container-title":"International Journal of Plant Sciences","id":"ITEM-1","issue":"1","issued":{"date-parts":[["2009"]]},"page":"61-75","title":"Leaf Trait Diversification and Design in Seven Rare Taxa of the Hawaiian Plantago Radiation","type":"article-journal","volume":"170"},"uris":["http://www.mendeley.com/documents/?uuid=a48262c7-1db7-4822-a918-e30186aefb81"]}],"mendeley":{"formattedCitation":"(Dunbar-co, Sporck, and Sack 2009)","manualFormatting":"Dunbar-co, Sporck, and Sack, 2009","plainTextFormattedCitation":"(Dunbar-co, Sporck, and Sack 2009)","previouslyFormattedCitation":"(Dunbar-co, Sporck, and Sack 2009)"},"properties":{"noteIndex":0},"schema":"https://github.com/citation-style-language/schema/raw/master/csl-citation.json"}</w:instrText>
            </w:r>
            <w:r>
              <w:rPr>
                <w:color w:val="000000"/>
                <w:szCs w:val="24"/>
              </w:rPr>
              <w:fldChar w:fldCharType="separate"/>
            </w:r>
            <w:r w:rsidRPr="00512824">
              <w:rPr>
                <w:noProof/>
                <w:color w:val="000000"/>
                <w:szCs w:val="24"/>
              </w:rPr>
              <w:t>Dunbar-co, Sporck, and Sack</w:t>
            </w:r>
            <w:r>
              <w:rPr>
                <w:noProof/>
                <w:color w:val="000000"/>
                <w:szCs w:val="24"/>
              </w:rPr>
              <w:t>,</w:t>
            </w:r>
            <w:r w:rsidRPr="00512824">
              <w:rPr>
                <w:noProof/>
                <w:color w:val="000000"/>
                <w:szCs w:val="24"/>
              </w:rPr>
              <w:t xml:space="preserve"> 2009</w:t>
            </w:r>
            <w:r>
              <w:rPr>
                <w:color w:val="000000"/>
                <w:szCs w:val="24"/>
              </w:rPr>
              <w:fldChar w:fldCharType="end"/>
            </w:r>
          </w:p>
        </w:tc>
      </w:tr>
      <w:tr w:rsidR="008B16E8" w:rsidRPr="00AC010D" w:rsidTr="00B8715B">
        <w:trPr>
          <w:gridAfter w:val="1"/>
          <w:wAfter w:w="24" w:type="dxa"/>
          <w:trHeight w:val="690"/>
        </w:trPr>
        <w:tc>
          <w:tcPr>
            <w:tcW w:w="1134" w:type="dxa"/>
            <w:tcBorders>
              <w:top w:val="nil"/>
              <w:left w:val="nil"/>
              <w:bottom w:val="nil"/>
              <w:right w:val="nil"/>
            </w:tcBorders>
            <w:shd w:val="clear" w:color="auto" w:fill="auto"/>
            <w:vAlign w:val="center"/>
            <w:hideMark/>
          </w:tcPr>
          <w:p w:rsidR="008B16E8" w:rsidRPr="00B80C40" w:rsidRDefault="008B16E8" w:rsidP="00B8715B">
            <w:pPr>
              <w:spacing w:line="240" w:lineRule="auto"/>
              <w:ind w:hanging="19"/>
              <w:rPr>
                <w:i/>
                <w:color w:val="000000"/>
                <w:szCs w:val="24"/>
              </w:rPr>
            </w:pPr>
            <w:proofErr w:type="spellStart"/>
            <w:r w:rsidRPr="00B80C40">
              <w:rPr>
                <w:i/>
                <w:color w:val="000000"/>
                <w:sz w:val="28"/>
                <w:szCs w:val="28"/>
              </w:rPr>
              <w:lastRenderedPageBreak/>
              <w:t>l</w:t>
            </w:r>
            <w:r w:rsidRPr="00B80C40">
              <w:rPr>
                <w:i/>
                <w:color w:val="000000"/>
                <w:sz w:val="28"/>
                <w:szCs w:val="28"/>
                <w:vertAlign w:val="subscript"/>
              </w:rPr>
              <w:t>T</w:t>
            </w:r>
            <w:proofErr w:type="spellEnd"/>
          </w:p>
        </w:tc>
        <w:tc>
          <w:tcPr>
            <w:tcW w:w="3343"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35"/>
              <w:rPr>
                <w:color w:val="000000"/>
                <w:szCs w:val="24"/>
              </w:rPr>
            </w:pPr>
            <w:r>
              <w:rPr>
                <w:color w:val="000000"/>
                <w:szCs w:val="24"/>
              </w:rPr>
              <w:t>terminal minor vein length</w:t>
            </w:r>
          </w:p>
        </w:tc>
        <w:tc>
          <w:tcPr>
            <w:tcW w:w="1664"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jc w:val="center"/>
              <w:rPr>
                <w:color w:val="000000"/>
                <w:szCs w:val="24"/>
              </w:rPr>
            </w:pPr>
            <w:r>
              <w:rPr>
                <w:color w:val="000000"/>
                <w:szCs w:val="24"/>
              </w:rPr>
              <w:t>m</w:t>
            </w:r>
          </w:p>
        </w:tc>
        <w:tc>
          <w:tcPr>
            <w:tcW w:w="1829"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jc w:val="center"/>
              <w:rPr>
                <w:color w:val="000000"/>
                <w:szCs w:val="24"/>
              </w:rPr>
            </w:pPr>
            <w:r>
              <w:rPr>
                <w:color w:val="000000"/>
                <w:szCs w:val="24"/>
              </w:rPr>
              <w:t xml:space="preserve">150 </w:t>
            </w:r>
            <w:r w:rsidRPr="00AC010D">
              <w:rPr>
                <w:color w:val="000000"/>
                <w:szCs w:val="24"/>
              </w:rPr>
              <w:t>x 10</w:t>
            </w:r>
            <w:r w:rsidRPr="00AC010D">
              <w:rPr>
                <w:color w:val="000000"/>
                <w:szCs w:val="24"/>
                <w:vertAlign w:val="superscript"/>
              </w:rPr>
              <w:t>-6</w:t>
            </w:r>
          </w:p>
        </w:tc>
        <w:tc>
          <w:tcPr>
            <w:tcW w:w="2352"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rPr>
                <w:color w:val="000000"/>
                <w:szCs w:val="24"/>
              </w:rPr>
            </w:pPr>
            <w:r>
              <w:rPr>
                <w:color w:val="000000"/>
                <w:szCs w:val="24"/>
              </w:rPr>
              <w:t>we take as half of the leaf thickness</w:t>
            </w:r>
          </w:p>
        </w:tc>
      </w:tr>
      <w:tr w:rsidR="008B16E8" w:rsidRPr="00AC010D" w:rsidTr="00B8715B">
        <w:trPr>
          <w:gridAfter w:val="1"/>
          <w:wAfter w:w="24" w:type="dxa"/>
          <w:trHeight w:val="690"/>
        </w:trPr>
        <w:tc>
          <w:tcPr>
            <w:tcW w:w="1134" w:type="dxa"/>
            <w:tcBorders>
              <w:top w:val="nil"/>
              <w:left w:val="nil"/>
              <w:bottom w:val="nil"/>
              <w:right w:val="nil"/>
            </w:tcBorders>
            <w:shd w:val="clear" w:color="auto" w:fill="auto"/>
            <w:vAlign w:val="center"/>
          </w:tcPr>
          <w:p w:rsidR="008B16E8" w:rsidRPr="00B80C40" w:rsidRDefault="008B16E8" w:rsidP="00B8715B">
            <w:pPr>
              <w:spacing w:line="240" w:lineRule="auto"/>
              <w:ind w:hanging="19"/>
              <w:rPr>
                <w:i/>
                <w:color w:val="000000"/>
                <w:sz w:val="28"/>
                <w:szCs w:val="28"/>
              </w:rPr>
            </w:pPr>
            <w:r w:rsidRPr="00B80C40">
              <w:rPr>
                <w:i/>
                <w:color w:val="000000"/>
                <w:szCs w:val="24"/>
              </w:rPr>
              <w:t>w</w:t>
            </w:r>
            <w:r w:rsidRPr="00B80C40">
              <w:rPr>
                <w:i/>
                <w:color w:val="000000"/>
                <w:szCs w:val="24"/>
                <w:vertAlign w:val="subscript"/>
              </w:rPr>
              <w:t>0</w:t>
            </w:r>
          </w:p>
        </w:tc>
        <w:tc>
          <w:tcPr>
            <w:tcW w:w="3343" w:type="dxa"/>
            <w:tcBorders>
              <w:top w:val="nil"/>
              <w:left w:val="nil"/>
              <w:bottom w:val="nil"/>
              <w:right w:val="nil"/>
            </w:tcBorders>
            <w:shd w:val="clear" w:color="auto" w:fill="auto"/>
            <w:vAlign w:val="center"/>
          </w:tcPr>
          <w:p w:rsidR="008B16E8" w:rsidRPr="00AC010D" w:rsidRDefault="008B16E8" w:rsidP="00B8715B">
            <w:pPr>
              <w:spacing w:line="240" w:lineRule="auto"/>
              <w:ind w:firstLine="35"/>
              <w:rPr>
                <w:color w:val="000000"/>
                <w:szCs w:val="24"/>
              </w:rPr>
            </w:pPr>
            <w:r w:rsidRPr="00AC010D">
              <w:rPr>
                <w:color w:val="000000"/>
                <w:szCs w:val="24"/>
              </w:rPr>
              <w:t>saturated water concentration in mesophyll</w:t>
            </w:r>
          </w:p>
        </w:tc>
        <w:tc>
          <w:tcPr>
            <w:tcW w:w="1664" w:type="dxa"/>
            <w:tcBorders>
              <w:top w:val="nil"/>
              <w:left w:val="nil"/>
              <w:bottom w:val="nil"/>
              <w:right w:val="nil"/>
            </w:tcBorders>
            <w:shd w:val="clear" w:color="auto" w:fill="auto"/>
            <w:vAlign w:val="center"/>
          </w:tcPr>
          <w:p w:rsidR="008B16E8" w:rsidRPr="00AC010D" w:rsidRDefault="008B16E8" w:rsidP="00B8715B">
            <w:pPr>
              <w:spacing w:line="240" w:lineRule="auto"/>
              <w:ind w:firstLine="0"/>
              <w:jc w:val="center"/>
              <w:rPr>
                <w:color w:val="000000"/>
                <w:szCs w:val="24"/>
              </w:rPr>
            </w:pPr>
            <w:proofErr w:type="spellStart"/>
            <w:r w:rsidRPr="00AC010D">
              <w:rPr>
                <w:color w:val="000000"/>
                <w:szCs w:val="24"/>
              </w:rPr>
              <w:t>mol</w:t>
            </w:r>
            <w:proofErr w:type="spellEnd"/>
            <w:r w:rsidRPr="00AC010D">
              <w:rPr>
                <w:color w:val="000000"/>
                <w:szCs w:val="24"/>
              </w:rPr>
              <w:t xml:space="preserve"> m</w:t>
            </w:r>
            <w:r w:rsidRPr="00AC010D">
              <w:rPr>
                <w:color w:val="000000"/>
                <w:szCs w:val="24"/>
                <w:vertAlign w:val="superscript"/>
              </w:rPr>
              <w:t>-3</w:t>
            </w:r>
            <w:r w:rsidRPr="00AC010D">
              <w:rPr>
                <w:color w:val="000000"/>
                <w:szCs w:val="24"/>
              </w:rPr>
              <w:t xml:space="preserve"> </w:t>
            </w:r>
          </w:p>
        </w:tc>
        <w:tc>
          <w:tcPr>
            <w:tcW w:w="1829" w:type="dxa"/>
            <w:tcBorders>
              <w:top w:val="nil"/>
              <w:left w:val="nil"/>
              <w:bottom w:val="nil"/>
              <w:right w:val="nil"/>
            </w:tcBorders>
            <w:shd w:val="clear" w:color="auto" w:fill="auto"/>
            <w:vAlign w:val="center"/>
          </w:tcPr>
          <w:p w:rsidR="008B16E8" w:rsidRDefault="008B16E8" w:rsidP="00B8715B">
            <w:pPr>
              <w:spacing w:line="240" w:lineRule="auto"/>
              <w:ind w:firstLine="0"/>
              <w:jc w:val="center"/>
              <w:rPr>
                <w:color w:val="000000"/>
                <w:szCs w:val="24"/>
              </w:rPr>
            </w:pPr>
            <w:r w:rsidRPr="00AC010D">
              <w:rPr>
                <w:color w:val="000000"/>
                <w:szCs w:val="24"/>
              </w:rPr>
              <w:t>40</w:t>
            </w:r>
          </w:p>
        </w:tc>
        <w:tc>
          <w:tcPr>
            <w:tcW w:w="2352" w:type="dxa"/>
            <w:tcBorders>
              <w:top w:val="nil"/>
              <w:left w:val="nil"/>
              <w:bottom w:val="nil"/>
              <w:right w:val="nil"/>
            </w:tcBorders>
            <w:shd w:val="clear" w:color="auto" w:fill="auto"/>
            <w:vAlign w:val="center"/>
          </w:tcPr>
          <w:p w:rsidR="008B16E8" w:rsidRDefault="008B16E8" w:rsidP="00B8715B">
            <w:pPr>
              <w:spacing w:line="240" w:lineRule="auto"/>
              <w:ind w:firstLine="0"/>
              <w:rPr>
                <w:color w:val="000000"/>
                <w:szCs w:val="24"/>
              </w:rPr>
            </w:pPr>
            <w:proofErr w:type="spellStart"/>
            <w:r w:rsidRPr="00AC010D">
              <w:rPr>
                <w:color w:val="000000"/>
                <w:szCs w:val="24"/>
              </w:rPr>
              <w:t>Noblin</w:t>
            </w:r>
            <w:proofErr w:type="spellEnd"/>
            <w:r w:rsidRPr="00AC010D">
              <w:rPr>
                <w:color w:val="000000"/>
                <w:szCs w:val="24"/>
              </w:rPr>
              <w:t xml:space="preserve"> et al.</w:t>
            </w:r>
            <w:r>
              <w:rPr>
                <w:color w:val="000000"/>
                <w:szCs w:val="24"/>
              </w:rPr>
              <w:t>,</w:t>
            </w:r>
            <w:r w:rsidRPr="00AC010D">
              <w:rPr>
                <w:color w:val="000000"/>
                <w:szCs w:val="24"/>
              </w:rPr>
              <w:t xml:space="preserve"> 2008 </w:t>
            </w:r>
          </w:p>
        </w:tc>
      </w:tr>
      <w:tr w:rsidR="008B16E8" w:rsidRPr="00AC010D" w:rsidTr="00B8715B">
        <w:trPr>
          <w:gridAfter w:val="1"/>
          <w:wAfter w:w="24" w:type="dxa"/>
          <w:trHeight w:val="660"/>
        </w:trPr>
        <w:tc>
          <w:tcPr>
            <w:tcW w:w="1134" w:type="dxa"/>
            <w:tcBorders>
              <w:top w:val="nil"/>
              <w:left w:val="nil"/>
              <w:bottom w:val="nil"/>
              <w:right w:val="nil"/>
            </w:tcBorders>
            <w:shd w:val="clear" w:color="auto" w:fill="auto"/>
            <w:vAlign w:val="center"/>
            <w:hideMark/>
          </w:tcPr>
          <w:p w:rsidR="008B16E8" w:rsidRPr="00B80C40" w:rsidRDefault="008B16E8" w:rsidP="00B8715B">
            <w:pPr>
              <w:spacing w:line="240" w:lineRule="auto"/>
              <w:ind w:hanging="19"/>
              <w:rPr>
                <w:i/>
                <w:color w:val="000000"/>
                <w:szCs w:val="24"/>
              </w:rPr>
            </w:pPr>
            <w:r w:rsidRPr="00B80C40">
              <w:rPr>
                <w:i/>
                <w:color w:val="000000"/>
                <w:szCs w:val="24"/>
              </w:rPr>
              <w:t>Z</w:t>
            </w:r>
          </w:p>
        </w:tc>
        <w:tc>
          <w:tcPr>
            <w:tcW w:w="3343"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35"/>
              <w:rPr>
                <w:color w:val="000000"/>
                <w:szCs w:val="24"/>
              </w:rPr>
            </w:pPr>
            <w:r w:rsidRPr="00AC010D">
              <w:rPr>
                <w:color w:val="000000"/>
                <w:szCs w:val="24"/>
              </w:rPr>
              <w:t>thickness of leaf</w:t>
            </w:r>
          </w:p>
        </w:tc>
        <w:tc>
          <w:tcPr>
            <w:tcW w:w="1664"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jc w:val="center"/>
              <w:rPr>
                <w:color w:val="000000"/>
                <w:szCs w:val="24"/>
              </w:rPr>
            </w:pPr>
            <w:r w:rsidRPr="00AC010D">
              <w:rPr>
                <w:color w:val="000000"/>
                <w:szCs w:val="24"/>
              </w:rPr>
              <w:t>m</w:t>
            </w:r>
          </w:p>
        </w:tc>
        <w:tc>
          <w:tcPr>
            <w:tcW w:w="1829" w:type="dxa"/>
            <w:tcBorders>
              <w:top w:val="nil"/>
              <w:left w:val="nil"/>
              <w:bottom w:val="nil"/>
              <w:right w:val="nil"/>
            </w:tcBorders>
            <w:shd w:val="clear" w:color="auto" w:fill="auto"/>
            <w:vAlign w:val="center"/>
            <w:hideMark/>
          </w:tcPr>
          <w:p w:rsidR="008B16E8" w:rsidRDefault="008B16E8" w:rsidP="00B8715B">
            <w:pPr>
              <w:spacing w:line="240" w:lineRule="auto"/>
              <w:ind w:firstLine="0"/>
              <w:jc w:val="center"/>
              <w:rPr>
                <w:color w:val="000000"/>
                <w:szCs w:val="24"/>
              </w:rPr>
            </w:pPr>
            <w:r>
              <w:rPr>
                <w:color w:val="000000"/>
                <w:szCs w:val="24"/>
              </w:rPr>
              <w:t>300</w:t>
            </w:r>
            <w:r w:rsidRPr="00AC010D">
              <w:rPr>
                <w:color w:val="000000"/>
                <w:szCs w:val="24"/>
              </w:rPr>
              <w:t xml:space="preserve"> x 10</w:t>
            </w:r>
            <w:r w:rsidRPr="00AC010D">
              <w:rPr>
                <w:color w:val="000000"/>
                <w:szCs w:val="24"/>
                <w:vertAlign w:val="superscript"/>
              </w:rPr>
              <w:t>-6</w:t>
            </w:r>
            <w:r>
              <w:rPr>
                <w:color w:val="000000"/>
                <w:szCs w:val="24"/>
                <w:vertAlign w:val="superscript"/>
              </w:rPr>
              <w:t xml:space="preserve"> a </w:t>
            </w:r>
          </w:p>
          <w:p w:rsidR="008B16E8" w:rsidRPr="00AC010D" w:rsidRDefault="008B16E8" w:rsidP="00B8715B">
            <w:pPr>
              <w:spacing w:line="240" w:lineRule="auto"/>
              <w:ind w:firstLine="0"/>
              <w:jc w:val="center"/>
              <w:rPr>
                <w:color w:val="000000"/>
                <w:szCs w:val="24"/>
              </w:rPr>
            </w:pPr>
            <w:r>
              <w:rPr>
                <w:color w:val="000000"/>
                <w:szCs w:val="24"/>
              </w:rPr>
              <w:t>,250</w:t>
            </w:r>
            <w:r w:rsidRPr="00AC010D">
              <w:rPr>
                <w:color w:val="000000"/>
                <w:szCs w:val="24"/>
              </w:rPr>
              <w:t xml:space="preserve"> x 10</w:t>
            </w:r>
            <w:r w:rsidRPr="00AC010D">
              <w:rPr>
                <w:color w:val="000000"/>
                <w:szCs w:val="24"/>
                <w:vertAlign w:val="superscript"/>
              </w:rPr>
              <w:t>-6</w:t>
            </w:r>
            <w:r>
              <w:rPr>
                <w:color w:val="000000"/>
                <w:szCs w:val="24"/>
              </w:rPr>
              <w:t xml:space="preserve">, 350 </w:t>
            </w:r>
            <w:r w:rsidRPr="00AC010D">
              <w:rPr>
                <w:color w:val="000000"/>
                <w:szCs w:val="24"/>
              </w:rPr>
              <w:t>x 10</w:t>
            </w:r>
            <w:r w:rsidRPr="00AC010D">
              <w:rPr>
                <w:color w:val="000000"/>
                <w:szCs w:val="24"/>
                <w:vertAlign w:val="superscript"/>
              </w:rPr>
              <w:t>-6</w:t>
            </w:r>
          </w:p>
        </w:tc>
        <w:tc>
          <w:tcPr>
            <w:tcW w:w="2352" w:type="dxa"/>
            <w:tcBorders>
              <w:top w:val="nil"/>
              <w:left w:val="nil"/>
              <w:bottom w:val="nil"/>
              <w:right w:val="nil"/>
            </w:tcBorders>
            <w:shd w:val="clear" w:color="auto" w:fill="auto"/>
            <w:vAlign w:val="center"/>
            <w:hideMark/>
          </w:tcPr>
          <w:p w:rsidR="008B16E8" w:rsidRPr="00AC010D" w:rsidRDefault="008B16E8" w:rsidP="00B8715B">
            <w:pPr>
              <w:spacing w:line="240" w:lineRule="auto"/>
              <w:ind w:firstLine="0"/>
              <w:rPr>
                <w:color w:val="000000"/>
                <w:szCs w:val="24"/>
              </w:rPr>
            </w:pPr>
            <w:proofErr w:type="spellStart"/>
            <w:r w:rsidRPr="00AC010D">
              <w:rPr>
                <w:color w:val="000000"/>
                <w:szCs w:val="24"/>
              </w:rPr>
              <w:t>Niinemets</w:t>
            </w:r>
            <w:proofErr w:type="spellEnd"/>
            <w:r w:rsidRPr="00AC010D">
              <w:rPr>
                <w:color w:val="000000"/>
                <w:szCs w:val="24"/>
              </w:rPr>
              <w:t xml:space="preserve">, 1999; </w:t>
            </w:r>
            <w:proofErr w:type="spellStart"/>
            <w:r w:rsidRPr="00AC010D">
              <w:rPr>
                <w:color w:val="000000"/>
                <w:szCs w:val="24"/>
              </w:rPr>
              <w:t>Noblin</w:t>
            </w:r>
            <w:proofErr w:type="spellEnd"/>
            <w:r w:rsidRPr="00AC010D">
              <w:rPr>
                <w:color w:val="000000"/>
                <w:szCs w:val="24"/>
              </w:rPr>
              <w:t xml:space="preserve"> et al., 2008; </w:t>
            </w:r>
          </w:p>
        </w:tc>
      </w:tr>
      <w:tr w:rsidR="008B16E8" w:rsidRPr="00AC010D" w:rsidTr="00B8715B">
        <w:trPr>
          <w:gridAfter w:val="1"/>
          <w:wAfter w:w="24" w:type="dxa"/>
          <w:trHeight w:val="495"/>
        </w:trPr>
        <w:tc>
          <w:tcPr>
            <w:tcW w:w="1134" w:type="dxa"/>
            <w:tcBorders>
              <w:top w:val="nil"/>
              <w:left w:val="nil"/>
              <w:bottom w:val="single" w:sz="8" w:space="0" w:color="auto"/>
              <w:right w:val="nil"/>
            </w:tcBorders>
            <w:shd w:val="clear" w:color="auto" w:fill="auto"/>
            <w:vAlign w:val="center"/>
            <w:hideMark/>
          </w:tcPr>
          <w:p w:rsidR="008B16E8" w:rsidRPr="00B80C40" w:rsidRDefault="008B16E8" w:rsidP="00B8715B">
            <w:pPr>
              <w:spacing w:line="240" w:lineRule="auto"/>
              <w:ind w:hanging="19"/>
              <w:rPr>
                <w:i/>
                <w:color w:val="000000"/>
                <w:szCs w:val="24"/>
              </w:rPr>
            </w:pPr>
            <w:r w:rsidRPr="00B80C40">
              <w:rPr>
                <w:i/>
                <w:color w:val="000000"/>
                <w:szCs w:val="24"/>
              </w:rPr>
              <w:t>Ψ</w:t>
            </w:r>
            <w:r w:rsidRPr="00B80C40">
              <w:rPr>
                <w:i/>
                <w:color w:val="000000"/>
                <w:szCs w:val="24"/>
                <w:vertAlign w:val="subscript"/>
              </w:rPr>
              <w:t>C</w:t>
            </w:r>
          </w:p>
        </w:tc>
        <w:tc>
          <w:tcPr>
            <w:tcW w:w="3343" w:type="dxa"/>
            <w:tcBorders>
              <w:top w:val="nil"/>
              <w:left w:val="nil"/>
              <w:bottom w:val="single" w:sz="8" w:space="0" w:color="auto"/>
              <w:right w:val="nil"/>
            </w:tcBorders>
            <w:shd w:val="clear" w:color="auto" w:fill="auto"/>
            <w:vAlign w:val="center"/>
            <w:hideMark/>
          </w:tcPr>
          <w:p w:rsidR="008B16E8" w:rsidRPr="00AC010D" w:rsidRDefault="008B16E8" w:rsidP="00B8715B">
            <w:pPr>
              <w:spacing w:line="240" w:lineRule="auto"/>
              <w:ind w:firstLine="35"/>
              <w:rPr>
                <w:color w:val="000000"/>
                <w:szCs w:val="24"/>
              </w:rPr>
            </w:pPr>
            <w:r w:rsidRPr="00AC010D">
              <w:rPr>
                <w:color w:val="000000"/>
                <w:szCs w:val="24"/>
              </w:rPr>
              <w:t xml:space="preserve">critical xylem water potential </w:t>
            </w:r>
          </w:p>
        </w:tc>
        <w:tc>
          <w:tcPr>
            <w:tcW w:w="1664" w:type="dxa"/>
            <w:tcBorders>
              <w:top w:val="nil"/>
              <w:left w:val="nil"/>
              <w:bottom w:val="single" w:sz="8" w:space="0" w:color="auto"/>
              <w:right w:val="nil"/>
            </w:tcBorders>
            <w:shd w:val="clear" w:color="auto" w:fill="auto"/>
            <w:vAlign w:val="center"/>
            <w:hideMark/>
          </w:tcPr>
          <w:p w:rsidR="008B16E8" w:rsidRPr="00AC010D" w:rsidRDefault="008B16E8" w:rsidP="00B8715B">
            <w:pPr>
              <w:spacing w:line="240" w:lineRule="auto"/>
              <w:ind w:firstLine="0"/>
              <w:jc w:val="center"/>
              <w:rPr>
                <w:color w:val="000000"/>
                <w:szCs w:val="24"/>
              </w:rPr>
            </w:pPr>
            <w:r w:rsidRPr="00AC010D">
              <w:rPr>
                <w:color w:val="000000"/>
                <w:szCs w:val="24"/>
              </w:rPr>
              <w:t>Pa</w:t>
            </w:r>
          </w:p>
        </w:tc>
        <w:tc>
          <w:tcPr>
            <w:tcW w:w="1829" w:type="dxa"/>
            <w:tcBorders>
              <w:top w:val="nil"/>
              <w:left w:val="nil"/>
              <w:bottom w:val="single" w:sz="8" w:space="0" w:color="auto"/>
              <w:right w:val="nil"/>
            </w:tcBorders>
            <w:shd w:val="clear" w:color="auto" w:fill="auto"/>
            <w:vAlign w:val="center"/>
            <w:hideMark/>
          </w:tcPr>
          <w:p w:rsidR="008B16E8" w:rsidRPr="003415EF" w:rsidRDefault="008B16E8" w:rsidP="00B8715B">
            <w:pPr>
              <w:spacing w:line="240" w:lineRule="auto"/>
              <w:ind w:firstLine="0"/>
              <w:jc w:val="center"/>
              <w:rPr>
                <w:color w:val="000000"/>
                <w:szCs w:val="24"/>
              </w:rPr>
            </w:pPr>
            <w:r w:rsidRPr="00AC010D">
              <w:rPr>
                <w:color w:val="000000"/>
                <w:szCs w:val="24"/>
              </w:rPr>
              <w:t xml:space="preserve"> -5 x 10</w:t>
            </w:r>
            <w:r w:rsidRPr="00AC010D">
              <w:rPr>
                <w:color w:val="000000"/>
                <w:szCs w:val="24"/>
                <w:vertAlign w:val="superscript"/>
              </w:rPr>
              <w:t>6</w:t>
            </w:r>
          </w:p>
        </w:tc>
        <w:tc>
          <w:tcPr>
            <w:tcW w:w="2352" w:type="dxa"/>
            <w:tcBorders>
              <w:top w:val="nil"/>
              <w:left w:val="nil"/>
              <w:bottom w:val="single" w:sz="8" w:space="0" w:color="auto"/>
              <w:right w:val="nil"/>
            </w:tcBorders>
            <w:shd w:val="clear" w:color="auto" w:fill="auto"/>
            <w:vAlign w:val="center"/>
            <w:hideMark/>
          </w:tcPr>
          <w:p w:rsidR="008B16E8" w:rsidRPr="00AC010D" w:rsidRDefault="008B16E8" w:rsidP="00B8715B">
            <w:pPr>
              <w:spacing w:line="240" w:lineRule="auto"/>
              <w:ind w:firstLine="0"/>
              <w:rPr>
                <w:color w:val="000000"/>
                <w:szCs w:val="24"/>
              </w:rPr>
            </w:pPr>
            <w:proofErr w:type="spellStart"/>
            <w:r>
              <w:rPr>
                <w:color w:val="000000"/>
                <w:szCs w:val="24"/>
              </w:rPr>
              <w:t>Scoffoni</w:t>
            </w:r>
            <w:proofErr w:type="spellEnd"/>
            <w:r>
              <w:rPr>
                <w:color w:val="000000"/>
                <w:szCs w:val="24"/>
              </w:rPr>
              <w:t xml:space="preserve"> et al., 2017</w:t>
            </w:r>
          </w:p>
        </w:tc>
      </w:tr>
      <w:tr w:rsidR="008B16E8" w:rsidRPr="00AC010D" w:rsidTr="00B8715B">
        <w:trPr>
          <w:gridAfter w:val="1"/>
          <w:wAfter w:w="24" w:type="dxa"/>
          <w:trHeight w:val="870"/>
        </w:trPr>
        <w:tc>
          <w:tcPr>
            <w:tcW w:w="1134" w:type="dxa"/>
            <w:tcBorders>
              <w:top w:val="nil"/>
              <w:left w:val="nil"/>
              <w:bottom w:val="single" w:sz="8" w:space="0" w:color="auto"/>
              <w:right w:val="nil"/>
            </w:tcBorders>
            <w:shd w:val="clear" w:color="auto" w:fill="auto"/>
            <w:vAlign w:val="center"/>
          </w:tcPr>
          <w:p w:rsidR="008B16E8" w:rsidRPr="00AC010D" w:rsidRDefault="008B16E8" w:rsidP="00B8715B">
            <w:pPr>
              <w:spacing w:line="240" w:lineRule="auto"/>
              <w:ind w:hanging="99"/>
              <w:rPr>
                <w:color w:val="000000"/>
                <w:szCs w:val="24"/>
              </w:rPr>
            </w:pPr>
          </w:p>
        </w:tc>
        <w:tc>
          <w:tcPr>
            <w:tcW w:w="3343" w:type="dxa"/>
            <w:tcBorders>
              <w:top w:val="nil"/>
              <w:left w:val="nil"/>
              <w:bottom w:val="single" w:sz="8" w:space="0" w:color="auto"/>
              <w:right w:val="nil"/>
            </w:tcBorders>
            <w:shd w:val="clear" w:color="auto" w:fill="auto"/>
            <w:vAlign w:val="center"/>
          </w:tcPr>
          <w:p w:rsidR="008B16E8" w:rsidRPr="00AC010D" w:rsidRDefault="008B16E8" w:rsidP="00B8715B">
            <w:pPr>
              <w:spacing w:line="240" w:lineRule="auto"/>
              <w:ind w:firstLine="35"/>
              <w:rPr>
                <w:color w:val="000000"/>
                <w:szCs w:val="24"/>
              </w:rPr>
            </w:pPr>
          </w:p>
        </w:tc>
        <w:tc>
          <w:tcPr>
            <w:tcW w:w="1664" w:type="dxa"/>
            <w:tcBorders>
              <w:top w:val="nil"/>
              <w:left w:val="nil"/>
              <w:bottom w:val="single" w:sz="8" w:space="0" w:color="auto"/>
              <w:right w:val="nil"/>
            </w:tcBorders>
            <w:shd w:val="clear" w:color="auto" w:fill="auto"/>
            <w:vAlign w:val="center"/>
          </w:tcPr>
          <w:p w:rsidR="008B16E8" w:rsidRPr="00AC010D" w:rsidRDefault="008B16E8" w:rsidP="00B8715B">
            <w:pPr>
              <w:spacing w:line="240" w:lineRule="auto"/>
              <w:ind w:firstLine="0"/>
              <w:jc w:val="center"/>
              <w:rPr>
                <w:color w:val="000000"/>
                <w:szCs w:val="24"/>
              </w:rPr>
            </w:pPr>
          </w:p>
        </w:tc>
        <w:tc>
          <w:tcPr>
            <w:tcW w:w="1829" w:type="dxa"/>
            <w:tcBorders>
              <w:top w:val="nil"/>
              <w:left w:val="nil"/>
              <w:bottom w:val="single" w:sz="8" w:space="0" w:color="auto"/>
              <w:right w:val="nil"/>
            </w:tcBorders>
            <w:shd w:val="clear" w:color="auto" w:fill="auto"/>
            <w:vAlign w:val="center"/>
          </w:tcPr>
          <w:p w:rsidR="008B16E8" w:rsidRPr="00AC010D" w:rsidRDefault="008B16E8" w:rsidP="00B8715B">
            <w:pPr>
              <w:spacing w:line="240" w:lineRule="auto"/>
              <w:ind w:firstLine="0"/>
              <w:jc w:val="center"/>
              <w:rPr>
                <w:color w:val="000000"/>
                <w:szCs w:val="24"/>
              </w:rPr>
            </w:pPr>
          </w:p>
        </w:tc>
        <w:tc>
          <w:tcPr>
            <w:tcW w:w="2352" w:type="dxa"/>
            <w:tcBorders>
              <w:top w:val="nil"/>
              <w:left w:val="nil"/>
              <w:bottom w:val="single" w:sz="8" w:space="0" w:color="auto"/>
              <w:right w:val="nil"/>
            </w:tcBorders>
            <w:shd w:val="clear" w:color="auto" w:fill="auto"/>
            <w:vAlign w:val="center"/>
          </w:tcPr>
          <w:p w:rsidR="008B16E8" w:rsidRPr="00AC010D" w:rsidRDefault="008B16E8" w:rsidP="00B8715B">
            <w:pPr>
              <w:spacing w:line="240" w:lineRule="auto"/>
              <w:ind w:firstLine="0"/>
              <w:rPr>
                <w:color w:val="000000"/>
                <w:szCs w:val="24"/>
              </w:rPr>
            </w:pPr>
          </w:p>
        </w:tc>
      </w:tr>
    </w:tbl>
    <w:p w:rsidR="00AB226C" w:rsidRDefault="00AB226C"/>
    <w:sectPr w:rsidR="00AB2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6E8"/>
    <w:rsid w:val="00070543"/>
    <w:rsid w:val="008B16E8"/>
    <w:rsid w:val="00AB2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1AE1"/>
  <w15:chartTrackingRefBased/>
  <w15:docId w15:val="{B521C44C-9D8E-4C86-95E1-37E67A66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6E8"/>
    <w:pPr>
      <w:spacing w:after="0" w:line="480" w:lineRule="auto"/>
      <w:ind w:firstLine="567"/>
    </w:pPr>
    <w:rPr>
      <w:rFonts w:ascii="Times New Roman" w:eastAsia="Times New Roman" w:hAnsi="Times New Roman" w:cs="Times New Roman"/>
      <w:sz w:val="24"/>
      <w:szCs w:val="20"/>
      <w:lang w:eastAsia="en-US"/>
    </w:rPr>
  </w:style>
  <w:style w:type="paragraph" w:styleId="Heading3">
    <w:name w:val="heading 3"/>
    <w:basedOn w:val="Normal"/>
    <w:next w:val="Normal"/>
    <w:link w:val="Heading3Char"/>
    <w:qFormat/>
    <w:rsid w:val="008B16E8"/>
    <w:pPr>
      <w:keepNext/>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B16E8"/>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2123</Words>
  <Characters>12106</Characters>
  <Application>Microsoft Office Word</Application>
  <DocSecurity>0</DocSecurity>
  <Lines>100</Lines>
  <Paragraphs>28</Paragraphs>
  <ScaleCrop>false</ScaleCrop>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Junyan Ding</dc:creator>
  <cp:keywords/>
  <dc:description/>
  <cp:lastModifiedBy>Junyan Ding</cp:lastModifiedBy>
  <cp:revision>1</cp:revision>
  <dcterms:created xsi:type="dcterms:W3CDTF">2019-12-17T21:26:00Z</dcterms:created>
  <dcterms:modified xsi:type="dcterms:W3CDTF">2019-12-17T21:26:00Z</dcterms:modified>
</cp:coreProperties>
</file>