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  <w:pageBreakBefore/>
      </w:pPr>
      <w:r>
        <w:t>根目录物理迁移</w:t>
      </w:r>
    </w:p>
    <w:p>
      <w:r>
        <w:t>实际迁移12/19项，尚余7项；整体迁移未完成。逐包整理不代替运行入口、生成器、历史原件及当前Word来源检查。</w:t>
      </w:r>
    </w:p>
    <w:p>
      <w:r>
        <w:t>work → agent/work；00-项目管理 → agent/governance</w:t>
      </w:r>
    </w:p>
    <w:p>
      <w:r>
        <w:t>01-需求与设计 → agent/design；03-测试与实验 → agent/validation</w:t>
      </w:r>
    </w:p>
    <w:p>
      <w:r>
        <w:t>04-成果与交付 → agent/delivery；srp参考文献 → agent/references</w:t>
      </w:r>
    </w:p>
    <w:p>
      <w:r>
        <w:t>Tools → agent/tools/governance；assets → human/assets</w:t>
      </w:r>
    </w:p>
    <w:p>
      <w:r>
        <w:t>output → human/deliverables；PROJECT_FRAMEWORK.md → agent/archive/project/PROJECT_FRAMEWORK.md</w:t>
      </w:r>
    </w:p>
    <w:p>
      <w:r>
        <w:t>PROJECT_MODULES.md → human/project/PROJECT_MODULES.md；README_run.md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p>
      <w:r>
        <w:t>治理权威已实际迁入agent/governance。813个原文件中750个字节未变，其余为当前读取器或导航修正；历史签署、五个分发包与外部来源原件未改。60个有测试入口的任务包全部通过，根回归635项通过；71包、330个Word来源链接和5分发61快照校验通过。15份Word仅修正24个来源链接，正文和其余内部文件未改。业务状态与正式研究资格不变。</w:t>
      </w:r>
    </w:p>
    <w:p>
      <w:r>
        <w:t>设计来源、验证原件和参考文献已实际迁入Agent层。297个已跟踪原文件中295个字节未变，两份当前导航修正；5份Word仅改来源链接。历史签署与冻结分发保持原件。文献库仍隔离：库存106条、实际101份PDF，缺少来源字段等问题未解除；目录迁移不产生新的论文证据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