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E06 可选阶段三研究关闭与上下游审阅</w:t>
      </w:r>
    </w:p>
    <w:p>
      <w:r>
        <w:t>审阅日期 2026-09-29    任务 E-06</w:t>
      </w:r>
    </w:p>
    <w:p>
      <w:pPr>
        <w:pStyle w:val="Heading1"/>
      </w:pPr>
      <w:r>
        <w:t>一 当前结论</w:t>
      </w:r>
    </w:p>
    <w:p>
      <w:r>
        <w:t>E-06仍BLOCKED_EXTERNAL、未领取未签收，真实实例零，研究锁库和揭盲未执行。已明确全部部分活动关闭、策略全组件/实际加载审计、盲态分工和分别授权；软件平衡/封存不冒充研究完成。</w:t>
      </w:r>
    </w:p>
    <w:p>
      <w:r>
        <w:t>固定任务约5人日，依赖G-04和全部B-03实例；正式冻结、真实批准、动态运行/重放及全部原件尚缺，实名研究/数据/QC/策略审计/授权人未指定。核心论文不等待未开展扩展DONE。</w:t>
      </w:r>
    </w:p>
    <w:p>
      <w:pPr>
        <w:pStyle w:val="Heading1"/>
      </w:pPr>
      <w:r>
        <w:t>二 目标与完成标准</w:t>
      </w:r>
    </w:p>
    <w:p>
      <w:r>
        <w:t>AC1全部B-03实例QC和原件核查关闭；AC2按冻结目标核对两组分配与随机基准24顺序；AC3策略未在线更新证据及锁库真实签署完成。操作完成数不是分析集，单文件哈希不能证明运行不变。</w:t>
      </w:r>
    </w:p>
    <w:p>
      <w:r>
        <w:t>五段为核对范围与责任、全部分配暴露和停止、原件/QC/策略审计、具体研究锁库签署、同一对象独立揭盲授权及交接；待标注/缺证据不假PASS。</w:t>
      </w:r>
    </w:p>
    <w:p>
      <w:pPr>
        <w:pStyle w:val="Heading1"/>
      </w:pPr>
      <w:r>
        <w:t>三 实际交付</w:t>
      </w:r>
    </w:p>
    <w:p>
      <w:r>
        <w:t>TASK和五目录、19项真实来源、当前关闭说明/机器状态、NOT_RUN空锁库审阅提纲及实际验证入口。没有生成正式锁库哈希、签名或揭盲凭证。</w:t>
      </w:r>
    </w:p>
    <w:p>
      <w:r>
        <w:t>第11步两个当前入口和v2.0手册增加E-06；共享旧原文已实际归档E-04，仅引用，不复制或改写历史签署和在研快照。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保留所有部分/退出/回退/未执行事实，回退留原策略组；48块计划与实际停止分开，注册仍不足目标追加完整块或NO_GO，正式尾块规则待G-04。NO_GO不能隐去已启动活动，也不是继续采集许可。</w:t>
      </w:r>
    </w:p>
    <w:p>
      <w:r>
        <w:t>两scene_native组仍可能由assignment_arm、策略版本和回退记录被识别；策略审计知组者与盲态情绪/技术QC分工。原件不改写，锁库具体对象与揭盲授权分别取得。</w:t>
      </w:r>
    </w:p>
    <w:p>
      <w:pPr>
        <w:pStyle w:val="Heading1"/>
      </w:pPr>
      <w:r>
        <w:t>五 验证与结果</w:t>
      </w:r>
    </w:p>
    <w:p>
      <w:r>
        <w:t>143专项通过，覆盖本包、B-03、G-04及既有随机化/存储。真实X-01开发接口分别分配12/48行并记录8/36操作完成，部分块PARTIAL_BLOCK、完整块BALANCED_BY_ASSIGNMENT；后者即使12退出也成立，不代表完成均衡或策略审计。</w:t>
      </w:r>
    </w:p>
    <w:p>
      <w:r>
        <w:t>实际软件审计链通过且formal_capable为false；协议、治理、注册、分发及根回归日志见verification.json。未进行真实参与者、策略动态运行、研究锁库、揭盲或Unity/TD验证。</w:t>
      </w:r>
    </w:p>
    <w:p>
      <w:pPr>
        <w:pStyle w:val="Heading1"/>
      </w:pPr>
      <w:r>
        <w:t>六 偏离与修复闭环</w:t>
      </w:r>
    </w:p>
    <w:p>
      <w:r>
        <w:t>修正以泛用会话执行代替研究关闭的当前手册流程，明确分配汇总不覆盖顺序/策略/分析资格、单模型哈希不覆盖全组件、两原生组不自动盲态；锁库与揭盲消费入口同步。</w:t>
      </w:r>
    </w:p>
    <w:p>
      <w:r>
        <w:t>真实尾块/停止、策略身份及动态重放、全部原件/QC、盲态重建/正式SAP、教学暴露接线和真实签署仍缺，不由合成PASS关闭。没有改注册依赖，避免要求A-04先正式分析才能锁库。</w:t>
      </w:r>
    </w:p>
    <w:p>
      <w:pPr>
        <w:pStyle w:val="Heading1"/>
      </w:pPr>
      <w:r>
        <w:t>七 目录与文件整理</w:t>
      </w:r>
    </w:p>
    <w:p>
      <w:r>
        <w:t>TASK、输入、执行、证据、输出及归档固定归属，空提纲明确不是研究锁库或授权；没有旧真实实例可迁移，受限原件和实名映射留获准仓库外。</w:t>
      </w:r>
    </w:p>
    <w:p>
      <w:r>
        <w:t>先修Agent与实际消费者，再生成单包和串联Word。业务状态和SVG不变，根目录双层整体物理迁移继续，不能只建导航就宣称已迁移。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G-04交独立SAP/预注册、批准、N/停止及策略/构建；B-03交全部实例含部分运行，X-03交全组件加载/真实状态和完整分布/只读重放，A-01/A-02交获准原件重建及分析集规则。现真实交付未齐，不签研究锁库。</w:t>
      </w:r>
    </w:p>
    <w:p>
      <w:r>
        <w:t>精确锁库及授权后A-04按含回退部署估计目标分析，U12-08附录，A-06核对实际活动范围。部分运行不能自称NO_STAGE3，预设情绪结果不因PF/SCCI失败隐去，锁后更正留原版和重新授权依据。</w:t>
      </w:r>
    </w:p>
    <w:p>
      <w:pPr>
        <w:pStyle w:val="Heading1"/>
      </w:pPr>
      <w:r>
        <w:t>九 审阅与责任签收</w:t>
      </w:r>
    </w:p>
    <w:p>
      <w:r>
        <w:t>数据负责人/独立复核先签锁库对象；真实授权者另签同一身份的接收人、权限、时间和范围。当前所有姓名日期为空，role字符串和代码哈希不产生授权，作者Agent自检与真实签收分开。</w:t>
      </w:r>
    </w:p>
    <w:p>
      <w:r>
        <w:t>历史审核人 未签收    日期 无</w:t>
      </w:r>
    </w:p>
    <w:p>
      <w:r>
        <w:t>没有E-06真人签署。本轮为作者Agent合成接口核查与规范化，没有新增独立Agent审核、真实锁库或揭盲许可。</w:t>
      </w:r>
    </w:p>
    <w:p>
      <w:pPr>
        <w:pStyle w:val="Heading1"/>
      </w:pPr>
      <w:r>
        <w:t>十 收尾与下一包</w:t>
      </w:r>
    </w:p>
    <w:p>
      <w:r>
        <w:t>累计54/71包规范化、余17，下一A-04。业务仍BLOCKED_EXTERNAL、真实锁库/揭盲未执行；继续全部任务整理及根目录最终迁移。</w:t>
      </w:r>
    </w:p>
    <w:p>
      <w:pPr>
        <w:pStyle w:val="Heading1"/>
      </w:pPr>
      <w:r>
        <w:t>十一 审阅来源</w:t>
      </w:r>
    </w:p>
    <w:p>
      <w:r>
        <w:t>实际注册、v1.2协议/两条路线/活动矩阵、G-04/B-03/E-04/X-03和A-01/A-02当前交接、实际随机化与重放源码、六类证据和v2.2合同、已归档第11步原文；没有新网页研究或真人活动。</w:t>
      </w:r>
    </w:p>
    <w:p>
      <w:hyperlink r:id="rId10">
        <w:r>
          <w:t>阶段三研究关闭交接</w:t>
        </w:r>
      </w:hyperlink>
    </w:p>
    <w:p>
      <w:hyperlink r:id="rId11">
        <w:r>
          <w:t>实际锁库与运行缺口</w:t>
        </w:r>
      </w:hyperlink>
    </w:p>
    <w:p>
      <w:hyperlink r:id="rId12">
        <w:r>
          <w:t>未执行锁库审阅提纲</w:t>
        </w:r>
      </w:hyperlink>
    </w:p>
    <w:p>
      <w:hyperlink r:id="rId13">
        <w:r>
          <w:t>消费者与流程修正</w:t>
        </w:r>
      </w:hyperlink>
    </w:p>
    <w:p>
      <w:hyperlink r:id="rId14">
        <w:r>
          <w:t>实际验证记录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E-06/outputs/current-closeout.md" TargetMode="External"/><Relationship Id="rId11" Type="http://schemas.openxmlformats.org/officeDocument/2006/relationships/hyperlink" Target="file:///D:/Agent/srp/agent/tasks/E-06/outputs/current-closeout.json" TargetMode="External"/><Relationship Id="rId12" Type="http://schemas.openxmlformats.org/officeDocument/2006/relationships/hyperlink" Target="file:///D:/Agent/srp/agent/tasks/E-06/outputs/lock-review-template.json" TargetMode="External"/><Relationship Id="rId13" Type="http://schemas.openxmlformats.org/officeDocument/2006/relationships/hyperlink" Target="file:///D:/Agent/srp/agent/tasks/E-06/evidence/consumer-impact.md" TargetMode="External"/><Relationship Id="rId14" Type="http://schemas.openxmlformats.org/officeDocument/2006/relationships/hyperlink" Target="file:///D:/Agent/srp/agent/tasks/E-06/evidence/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