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G05 外部准入与正式机器交接审阅</w:t>
      </w:r>
    </w:p>
    <w:p>
      <w:r>
        <w:t>审阅日期 2026-09-29    任务 G-05</w:t>
      </w:r>
    </w:p>
    <w:p>
      <w:pPr>
        <w:pStyle w:val="Heading1"/>
      </w:pPr>
      <w:r>
        <w:t>一 当前结论</w:t>
      </w:r>
    </w:p>
    <w:p>
      <w:r>
        <w:t>G-05仍WAIT_DEP_EXTERNAL、未领取未签收。五份过期包/手册原件实际归档，当前准入与专机入口订正；28项专项通过，本机六项仍失败，十三项外部资格均待真实证据。</w:t>
      </w:r>
    </w:p>
    <w:p>
      <w:r>
        <w:t>依赖G-01/G-02，约5人日项目内工作，外部等待另计。材料/软件DONE不证明实际资格；机构、量表、保留期限、人员和两周现场仍缺。</w:t>
      </w:r>
    </w:p>
    <w:p>
      <w:pPr>
        <w:pStyle w:val="Heading1"/>
      </w:pPr>
      <w:r>
        <w:t>二 目标与完成标准</w:t>
      </w:r>
    </w:p>
    <w:p>
      <w:r>
        <w:t>AC1真实机构、M-001及角色培训签署；AC2正式专机全部适用检查和恢复通过、当前许可清零；AC3两周真实漏斗/故障/恢复和U8 PASS或NO_GO对应活动资格。</w:t>
      </w:r>
    </w:p>
    <w:p>
      <w:r>
        <w:t>五段过程为责任范围、外部回执、专机资产、实地U8、另一人复核交接；需真实机构/数据/许可/现场责任人，TASK附国内研究方法、数据安全和Git资料。</w:t>
      </w:r>
    </w:p>
    <w:p>
      <w:pPr>
        <w:pStyle w:val="Heading1"/>
      </w:pPr>
      <w:r>
        <w:t>三 实际交付</w:t>
      </w:r>
    </w:p>
    <w:p>
      <w:r>
        <w:t>TASK与固定五目录、13项当前来源、机器/活动说明、真实缺口字段及23项新检查建立。旧第58号三文件和两专机手册逐字节实际归档，原位置改当前导航。</w:t>
      </w:r>
    </w:p>
    <w:p>
      <w:r>
        <w:t>当前入口去除旧绝对目录、早期整体硬门与固定六行误解；软件合同、资格矩阵、旧签署、资产台账和领取快照保持。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早期静态/回放按U12-05实际批准范围执行，不扩大到真机研究。六类专机配置会展开多项检查，全部适用项通过才有软件门PASS，仍需真实专机与另一人见证。</w:t>
      </w:r>
    </w:p>
    <w:p>
      <w:r>
        <w:t>凭据创建仅获批后人工执行，本轮不调用、不写密钥/ACL/期限；APPROVED字符串不能替代机构批准。实验使用、论文展示、再分发各有用途许可。</w:t>
      </w:r>
    </w:p>
    <w:p>
      <w:pPr>
        <w:pStyle w:val="Heading1"/>
      </w:pPr>
      <w:r>
        <w:t>五 验证与结果</w:t>
      </w:r>
    </w:p>
    <w:p>
      <w:r>
        <w:t>28项专项通过：23项新来源/归档/活动负测与5项既有环境测试。13项缺失资格分别被现有校验器拒绝，导航和五原件字节通过；治理升级校验通过。</w:t>
      </w:r>
    </w:p>
    <w:p>
      <w:r>
        <w:t>本机只读formal_ready=false，治理根、备份根、密封证据、管理员、凭据与期限六项失败；没有正式配置或现场活动。初次脚本未建evidence，修复后结果成功保存；根/分发结果见regression.json。</w:t>
      </w:r>
    </w:p>
    <w:p>
      <w:pPr>
        <w:pStyle w:val="Heading1"/>
      </w:pPr>
      <w:r>
        <w:t>六 偏离与修复闭环</w:t>
      </w:r>
    </w:p>
    <w:p>
      <w:r>
        <w:t>旧G-05/专机说明不再执行，原件供历史解释；Z-01当前225项/269资产阻断不能被旧三组报告覆盖。角色编号不算真实人选，G-01历史528/112不作当前N。</w:t>
      </w:r>
    </w:p>
    <w:p>
      <w:r>
        <w:t>现有G-05整体DONE规则要求13项含可选阶段三资格，核心路线按活动准入的收尾仍需治理任务裁定。不伪造阶段三资格、不擅改全包规则。</w:t>
      </w:r>
    </w:p>
    <w:p>
      <w:pPr>
        <w:pStyle w:val="Heading1"/>
      </w:pPr>
      <w:r>
        <w:t>七 目录与文件整理</w:t>
      </w:r>
    </w:p>
    <w:p>
      <w:r>
        <w:t>任务根只有TASK和五目录，历史原件不复制成当前执行版本；共享原路径导航保留消费者，原manifest明确仅历史导航。Word从Agent事实生成。</w:t>
      </w:r>
    </w:p>
    <w:p>
      <w:r>
        <w:t>五活动包映射未引用本轮迁移材料，冻结身份未更新；共享治理代码和机构原件仍待整体迁移，规范化不重绘业务SVG。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G-01供当前材料、G-02供治理门，U12-05供早期批准；G-05取得真人回执、正式机器、用途许可和现场吞吐，不能由Agent材料或总监单签代替。</w:t>
      </w:r>
    </w:p>
    <w:p>
      <w:r>
        <w:t>U-08/I-01/Z-01消费真实环境/资产；G-03/G-04及U12-11按对应活动冻结，W-03审公开。核心与可选阶段三分开报告，13项全包规则与核心闭环问题保留待裁定。</w:t>
      </w:r>
    </w:p>
    <w:p>
      <w:pPr>
        <w:pStyle w:val="Heading1"/>
      </w:pPr>
      <w:r>
        <w:t>九 审阅与责任签收</w:t>
      </w:r>
    </w:p>
    <w:p>
      <w:r>
        <w:t>注册明确未领取、未指定；本轮不代填负责人、机构批准或PASS。已有G-01/G-02批准只成立于其原材料/软件范围。</w:t>
      </w:r>
    </w:p>
    <w:p>
      <w:r>
        <w:t>历史审核人 未签收    日期 无</w:t>
      </w:r>
    </w:p>
    <w:p>
      <w:r>
        <w:t>G-01/G-02责任迁移已经批准，但没有G-05机构、专机或U8签收。本轮Codex整理与只读核查不替代真实外部回执。</w:t>
      </w:r>
    </w:p>
    <w:p>
      <w:pPr>
        <w:pStyle w:val="Heading1"/>
      </w:pPr>
      <w:r>
        <w:t>十 收尾与下一包</w:t>
      </w:r>
    </w:p>
    <w:p>
      <w:r>
        <w:t>累计42/71、剩余29，下一E-01。机构/许可/期限/角色、正式机器和真实U8均未关闭，状态不变；目录整体迁移继续。</w:t>
      </w:r>
    </w:p>
    <w:p>
      <w:pPr>
        <w:pStyle w:val="Heading1"/>
      </w:pPr>
      <w:r>
        <w:t>十一 审阅来源</w:t>
      </w:r>
    </w:p>
    <w:p>
      <w:r>
        <w:t>注册、责任迁移、13项资格/证据合同、现有校验器、G-01/G-02/Z-01当前交接及本机只读环境报告。无新机构联系、招募、真实采集或新独立Agent/真人签署。</w:t>
      </w:r>
    </w:p>
    <w:p>
      <w:hyperlink r:id="rId10">
        <w:r>
          <w:t>活动准入与专机当前说明</w:t>
        </w:r>
      </w:hyperlink>
    </w:p>
    <w:p>
      <w:hyperlink r:id="rId11">
        <w:r>
          <w:t>真实缺口与状态</w:t>
        </w:r>
      </w:hyperlink>
    </w:p>
    <w:p>
      <w:hyperlink r:id="rId12">
        <w:r>
          <w:t>专项与本机门结果</w:t>
        </w:r>
      </w:hyperlink>
    </w:p>
    <w:p>
      <w:hyperlink r:id="rId13">
        <w:r>
          <w:t>原件归档</w:t>
        </w:r>
      </w:hyperlink>
    </w:p>
    <w:p>
      <w:hyperlink r:id="rId14">
        <w:r>
          <w:t>消费者影响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G-05/outputs/current-admission.md" TargetMode="External"/><Relationship Id="rId11" Type="http://schemas.openxmlformats.org/officeDocument/2006/relationships/hyperlink" Target="file:///D:/Agent/srp/agent/tasks/G-05/outputs/current-admission.json" TargetMode="External"/><Relationship Id="rId12" Type="http://schemas.openxmlformats.org/officeDocument/2006/relationships/hyperlink" Target="file:///D:/Agent/srp/agent/tasks/G-05/evidence/verification.json" TargetMode="External"/><Relationship Id="rId13" Type="http://schemas.openxmlformats.org/officeDocument/2006/relationships/hyperlink" Target="file:///D:/Agent/srp/agent/tasks/G-05/archive/README.md" TargetMode="External"/><Relationship Id="rId14" Type="http://schemas.openxmlformats.org/officeDocument/2006/relationships/hyperlink" Target="file:///D:/Agent/srp/agent/tasks/G-05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