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OPEN_ROOT_MIGRATION：逐包71/71不替代旧业务目录整体迁移和运行验证</w:t>
      </w:r>
    </w:p>
    <w:p>
      <w:pPr>
        <w:pStyle w:val="Heading1"/>
      </w:pPr>
      <w:r>
        <w:t>待整理队列</w:t>
      </w:r>
    </w:p>
    <w:p>
      <w:pPr>
        <w:keepNext/>
      </w:pPr>
      <w:r>
        <w:t>已整理71包，待整理0包；根目录双层迁移未完成。下一项目录整体迁移。</w:t>
      </w:r>
    </w:p>
    <w:p>
      <w:pPr>
        <w:pStyle w:val="Heading1"/>
      </w:pPr>
      <w:r>
        <w:t>根目录物理迁移</w:t>
      </w:r>
    </w:p>
    <w:p>
      <w:r>
        <w:t>实际迁移7/19项，尚余12项；整体迁移未完成。逐包整理不代替运行入口、生成器、历史原件及当前Word来源检查。</w:t>
      </w:r>
    </w:p>
    <w:p>
      <w:r>
        <w:t>work → agent/work；Tools → agent/tools/governance</w:t>
      </w:r>
    </w:p>
    <w:p>
      <w:r>
        <w:t>assets → human/assets；output → human/deliverables</w:t>
      </w:r>
    </w:p>
    <w:p>
      <w:r>
        <w:t>PROJECT_FRAMEWORK.md → agent/archive/project/PROJECT_FRAMEWORK.md；PROJECT_MODULES.md → human/project/PROJECT_MODULES.md</w:t>
      </w:r>
    </w:p>
    <w:p>
      <w:r>
        <w:t>README_run.md → agent/archive/runtime/README_run.md</w:t>
      </w:r>
    </w:p>
    <w:p>
      <w:r>
        <w:t>旧框架及Mock/Spout手册已原样归档，当前人类概览位于human/project/README.md，运行入口位于agent/runtime/README.md。业务签署和进行中分发不因迁移而改变。</w:t>
      </w:r>
    </w:p>
    <w:p>
      <w:r>
        <w:t>治理工具和首页SVG已实际迁入双层；旧任务PDF的DONE=22与当前24不符，旧目标/流程PDF仍含退役机制，均已归档。当前六页任务概要由同版Markdown重建并核对注册表，不是参与者研究结果。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