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E02 认知预试执行与关闭交接审阅</w:t>
      </w:r>
    </w:p>
    <w:p>
      <w:r>
        <w:t>审阅日期 2026-09-29    任务 E-02</w:t>
      </w:r>
    </w:p>
    <w:p>
      <w:pPr>
        <w:pStyle w:val="Heading1"/>
      </w:pPr>
      <w:r>
        <w:t>一 当前结论</w:t>
      </w:r>
    </w:p>
    <w:p>
      <w:r>
        <w:t>E-02仍BLOCKED_EXTERNAL、未领取未签收。两旧第8步方案实际归档，当前四层认知预试、单条件/单次体验和修订关闭交接订正；70项合成/交接检查通过，没有真人预试或新Unity回归。</w:t>
      </w:r>
    </w:p>
    <w:p>
      <w:r>
        <w:t>约5人日项目内工作，依赖Q-02/E-01/U12-05；上游和Level B资格仍未闭环。真实招募、独立作答、访谈、构建复测和签署没有执行。</w:t>
      </w:r>
    </w:p>
    <w:p>
      <w:pPr>
        <w:pStyle w:val="Heading1"/>
      </w:pPr>
      <w:r>
        <w:t>二 目标与完成标准</w:t>
      </w:r>
    </w:p>
    <w:p>
      <w:r>
        <w:t>AC1按冻结总量/每条件/每轮完成人数及两条件四结构覆盖；AC2关键误解双人编码、原分歧裁定与修订或有据保留闭环；AC3精确关闭构建的真实Unity回归、完整表示检查和签署对应一致。</w:t>
      </w:r>
    </w:p>
    <w:p>
      <w:r>
        <w:t>五段为范围/材料、演练招募、实际记录、编码修订、复测关闭；负责人、两编码者、Unity修订与研究冻结责任人待实名，TASK附继承中文学习资料。</w:t>
      </w:r>
    </w:p>
    <w:p>
      <w:pPr>
        <w:pStyle w:val="Heading1"/>
      </w:pPr>
      <w:r>
        <w:t>三 实际交付</w:t>
      </w:r>
    </w:p>
    <w:p>
      <w:r>
        <w:t>TASK与五目录、13项输入来源、当前真人执行SOP和缺口JSON、只读核查及合成结果建立。两旧方案逐字节移入archive，原位置仅当前导航。</w:t>
      </w:r>
    </w:p>
    <w:p>
      <w:r>
        <w:t>Q-02提纲/两空CSV保持单一权威，题库代码/答案、教学合同及冻结快照不改；本包不复制真人表或第二份计分实现。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旧三层、双环、固定12人和重复后95%理解门不再执行。注册12至16人、旧F-02总24至32人及当前未冻结之间的冲突明确保留，不擅定样本数或关闭阈值。</w:t>
      </w:r>
    </w:p>
    <w:p>
      <w:r>
        <w:t>完整路径先前测再揭示/教学，核心无回答，后测后独立作答再追问；形成性教学另标。每人一条件、一次核心体验，新修订轮用新人，不重复核心或展示另一条件作配对。</w:t>
      </w:r>
    </w:p>
    <w:p>
      <w:pPr>
        <w:pStyle w:val="Heading1"/>
      </w:pPr>
      <w:r>
        <w:t>五 验证与结果</w:t>
      </w:r>
    </w:p>
    <w:p>
      <w:r>
        <w:t>70项专项通过，覆盖当前依赖/活动资格、人数未冻结、时序和报告边界、空表来源、两原件字节及导航；既有步骤测量合成材料和字节检查通过。</w:t>
      </w:r>
    </w:p>
    <w:p>
      <w:r>
        <w:t>注册71项及分发5包61快照通过，根回归见verification.json日志；这些检查不证明真人覆盖、最终屏幕、真设备活动或关闭构建。</w:t>
      </w:r>
    </w:p>
    <w:p>
      <w:pPr>
        <w:pStyle w:val="Heading1"/>
      </w:pPr>
      <w:r>
        <w:t>六 偏离与修复闭环</w:t>
      </w:r>
    </w:p>
    <w:p>
      <w:r>
        <w:t>当前说明修正旧重复理解、三层和人数暗定；技术未呈现/未知实际输入不填零或算答错，帮助不能回填首次正确，不用教学预算补填达标时间。理解/猜测不隐去有效PANAS。</w:t>
      </w:r>
    </w:p>
    <w:p>
      <w:r>
        <w:t>初测69通过1失败，文字断言“不填零”与正文“不能填零”不匹配，修正测试后70通过；原输出和原因保留，未改变实际研究规则。</w:t>
      </w:r>
    </w:p>
    <w:p>
      <w:pPr>
        <w:pStyle w:val="Heading1"/>
      </w:pPr>
      <w:r>
        <w:t>七 目录与文件整理</w:t>
      </w:r>
    </w:p>
    <w:p>
      <w:r>
        <w:t>两原件实际归档，旧导航仍可打开；活动消费者未发现脚本或快照引用旧方案，冻结身份不更新。90_既有执行材料旧访谈脚本已属历史，不再复制当前流程。</w:t>
      </w:r>
    </w:p>
    <w:p>
      <w:r>
        <w:t>真实原件/身份/录像在获批仓库外，仓库空模板不装真人数据；Word从Agent事实生成，业务状态未改，不重绘业务SVG，根目录整体迁移仍待完成。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Q-02交材料与提纲，E-01交真实Level A关闭，U12-05及对应资格交实际批准；U/V和教学/测量交同版本呈现。E-02交真实覆盖、独立回答、原始问题/分歧、成对修订和关闭候选。</w:t>
      </w:r>
    </w:p>
    <w:p>
      <w:r>
        <w:t>B-01/Q-03/E-03继续等待自己的真机、分析与批准；U12-04/U12-11消费时序/成本/缺失及冻结依据，W/A保留功能不足和设计边界，核心主情绪比较独立报告。</w:t>
      </w:r>
    </w:p>
    <w:p>
      <w:pPr>
        <w:pStyle w:val="Heading1"/>
      </w:pPr>
      <w:r>
        <w:t>九 审阅与责任签收</w:t>
      </w:r>
    </w:p>
    <w:p>
      <w:r>
        <w:t>当前领取人、审核人和两编码者未落实；活动批准、量表许可、人数阈值、材料和实际复测仍缺。签收须真实另一人审精确候选，填写本人复跑或见证方式，不预填PASS。</w:t>
      </w:r>
    </w:p>
    <w:p>
      <w:r>
        <w:t>历史审核人 未签收    日期 无</w:t>
      </w:r>
    </w:p>
    <w:p>
      <w:r>
        <w:t>本包没有真实活动签收；上游软件或材料签收不等于Level B完成，本轮无新独立Agent或真人签署。</w:t>
      </w:r>
    </w:p>
    <w:p>
      <w:pPr>
        <w:pStyle w:val="Heading1"/>
      </w:pPr>
      <w:r>
        <w:t>十 收尾与下一包</w:t>
      </w:r>
    </w:p>
    <w:p>
      <w:r>
        <w:t>累计44/71，剩余27，下一B-01。E-02保持BLOCKED_EXTERNAL，不把70合成检查当真人Level B通过；根目录双层整体迁移继续。</w:t>
      </w:r>
    </w:p>
    <w:p>
      <w:pPr>
        <w:pStyle w:val="Heading1"/>
      </w:pPr>
      <w:r>
        <w:t>十一 审阅来源</w:t>
      </w:r>
    </w:p>
    <w:p>
      <w:r>
        <w:t>实际注册表、Level B资格、Q-02当前说明/提纲/空表、教学/测量权威、E-01/G-05交接、两历史方案和本轮软件结果；无真实招募、设备活动、访谈或新渲染复核。</w:t>
      </w:r>
    </w:p>
    <w:p>
      <w:hyperlink r:id="rId10">
        <w:r>
          <w:t>真人执行与关闭交接</w:t>
        </w:r>
      </w:hyperlink>
    </w:p>
    <w:p>
      <w:hyperlink r:id="rId11">
        <w:r>
          <w:t>真实活动及冻结缺口</w:t>
        </w:r>
      </w:hyperlink>
    </w:p>
    <w:p>
      <w:hyperlink r:id="rId12">
        <w:r>
          <w:t>软件检查与回归</w:t>
        </w:r>
      </w:hyperlink>
    </w:p>
    <w:p>
      <w:hyperlink r:id="rId13">
        <w:r>
          <w:t>初次失败与修复</w:t>
        </w:r>
      </w:hyperlink>
    </w:p>
    <w:p>
      <w:hyperlink r:id="rId14">
        <w:r>
          <w:t>两旧原件归档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2/outputs/current-execution.md" TargetMode="External"/><Relationship Id="rId11" Type="http://schemas.openxmlformats.org/officeDocument/2006/relationships/hyperlink" Target="file:///D:/Agent/srp/agent/tasks/E-02/outputs/current-execution.json" TargetMode="External"/><Relationship Id="rId12" Type="http://schemas.openxmlformats.org/officeDocument/2006/relationships/hyperlink" Target="file:///D:/Agent/srp/agent/tasks/E-02/evidence/verification.json" TargetMode="External"/><Relationship Id="rId13" Type="http://schemas.openxmlformats.org/officeDocument/2006/relationships/hyperlink" Target="file:///D:/Agent/srp/agent/tasks/E-02/evidence/failure-disposition.md" TargetMode="External"/><Relationship Id="rId14" Type="http://schemas.openxmlformats.org/officeDocument/2006/relationships/hyperlink" Target="file:///D:/Agent/srp/agent/tasks/E-02/archiv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