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W01 最近工作与中立论文骨架审阅</w:t>
      </w:r>
    </w:p>
    <w:p>
      <w:r>
        <w:t>审阅日期 2026-09-29    任务 W-01</w:t>
      </w:r>
    </w:p>
    <w:p>
      <w:pPr>
        <w:pStyle w:val="Heading1"/>
      </w:pPr>
      <w:r>
        <w:t>一 当前结论</w:t>
      </w:r>
    </w:p>
    <w:p>
      <w:r>
        <w:t>W-01原候选范围DONE不改，新颖性仍REVISE_REQUIRED。旧骨架原文归档，验证器迁入Agent，当前PANAS主比较与A-06核心收尾入口订正；原生检索导出、全文双审和真实人员仍缺。</w:t>
      </w:r>
    </w:p>
    <w:p>
      <w:r>
        <w:t>F-02/R-01前置，5人日、P-DELIVERY。历史生产者GPT Deep Research+Codex；不把角色占位写成两名真实文献审查者。本轮规范化不解锁正式研究。</w:t>
      </w:r>
    </w:p>
    <w:p>
      <w:pPr>
        <w:pStyle w:val="Heading1"/>
      </w:pPr>
      <w:r>
        <w:t>二 目标与完成标准</w:t>
      </w:r>
    </w:p>
    <w:p>
      <w:r>
        <w:t>AC1逐项最近工作、增量与反证而非未见相同工作；AC2七轴证据编码；AC3单篇完整提示比较主线，部署仅条件式扩展。真实库导出、全文页段及双人编码仍是未关闭项。</w:t>
      </w:r>
    </w:p>
    <w:p>
      <w:r>
        <w:t>五日按检索范围、结构提取、主张攻击、中立骨架、下游交接推进；国内写作与Markdown资料沿用任务体系，入口和责任见TASK.md。</w:t>
      </w:r>
    </w:p>
    <w:p>
      <w:pPr>
        <w:pStyle w:val="Heading1"/>
      </w:pPr>
      <w:r>
        <w:t>三 实际交付</w:t>
      </w:r>
    </w:p>
    <w:p>
      <w:r>
        <w:t>建立固定五目录、当前论文说明/六项主张JSON、来源、核验入口与消费者影响。旧67KB候选原文实际归档，原位置改当前导航；文献表、引用及原验收不改。</w:t>
      </w:r>
    </w:p>
    <w:p>
      <w:r>
        <w:t>验证器从规划包迁入execution；注册表仅精确替换该证据路径，迁移映射不放宽原范围。历史包结构与当前W-02依赖分别核验。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当前问题为两个完整提示方案的短时情绪收益、执行和负担，不保证原生胜出。PANAS主比较独立于PF护栏和SCCI操纵；报告所有预设结果，未显著不当等效或反向优效。</w:t>
      </w:r>
    </w:p>
    <w:p>
      <w:r>
        <w:t>旧Gate1→2骨架、192/240人数及A-04写作等待不作当前权威。W-02消费A-06实际核心关闭；阶段三可选，已开展的扩展如实披露。</w:t>
      </w:r>
    </w:p>
    <w:p>
      <w:pPr>
        <w:pStyle w:val="Heading1"/>
      </w:pPr>
      <w:r>
        <w:t>五 验证与结果</w:t>
      </w:r>
    </w:p>
    <w:p>
      <w:r>
        <w:t>16项专项通过，历史13行日志、15篇矩阵/DOI/BibTeX、6项主张及原文身份通过。负例拒绝旧门阻断PANAS、提前等效、正式N、虚构双审与观察结果；五包只改注册表指纹的比较通过。</w:t>
      </w:r>
    </w:p>
    <w:p>
      <w:r>
        <w:t>根pytest635通过，治理、71项注册表和5包61快照通过。结构检查不证明全文结果、新颖性GO、真实研究完成或期刊录用；本轮未重新联网更新文献。</w:t>
      </w:r>
    </w:p>
    <w:p>
      <w:pPr>
        <w:pStyle w:val="Heading1"/>
      </w:pPr>
      <w:r>
        <w:t>六 偏离与修复闭环</w:t>
      </w:r>
    </w:p>
    <w:p>
      <w:r>
        <w:t>旧骨架把功能门作为贡献成立中心，当前入口已按研究v1.2订正。旧A-04等待只保留在历史验收原件，迁移验证器单独检查当前W-02依赖，不继续当阻断理由。</w:t>
      </w:r>
    </w:p>
    <w:p>
      <w:r>
        <w:t>2026-09-29 U12-07旧RQ/门序/八题原稿已归档，当前方法、11表和解释规则修订，W-01实际入口已改；新规格非论文正文，独立和真人新签收仍待完成。文献截至2026-08-06，不伪造新检索日期。</w:t>
      </w:r>
    </w:p>
    <w:p>
      <w:r>
        <w:t>首轮链接测试误把执行后才生成的验证报告当作启动输入，已区分静态来源和本轮产物；失败日志保留，复测及Word结构检查验证实际报告存在。</w:t>
      </w:r>
    </w:p>
    <w:p>
      <w:pPr>
        <w:pStyle w:val="Heading1"/>
      </w:pPr>
      <w:r>
        <w:t>七 目录与文件整理</w:t>
      </w:r>
    </w:p>
    <w:p>
      <w:r>
        <w:t>执行工具实际迁入Agent，过期骨架原文字节归档；历史文献表/BibTeX留原模块供核验，后续整体迁移不复制活动副本。导航、来源、注册表及迁移记录对齐。</w:t>
      </w:r>
    </w:p>
    <w:p>
      <w:r>
        <w:t>冻结领取输入不刷新；五包只更新注册表指纹，初次旧指纹失败记录保留，复测通过。状态无变化，不重复生成SVG。Word从当前Agent事实生成，未整理材料不视为已订正。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R-01/F-02及U12-02/U12-03供当前设计、步骤测量和公平性，U/V交实际呈现，A-02/A-03交统计边界与真实分析，Q-01交真实独立重建。四例实现不证明通用框架或独立天气效应。</w:t>
      </w:r>
    </w:p>
    <w:p>
      <w:r>
        <w:t>W-02依赖W-01|A-06|U12-07；核心写作不等A-04。U12-07当前规格已修，待新复核而不转移签名；A-06供实际范围、锁库和主张—结果—图表关联，W-03再消费同一证据。</w:t>
      </w:r>
    </w:p>
    <w:p>
      <w:r>
        <w:t>当前仍缺原生检索/去重、关键全文页段与两名真实来源审查者；15篇不是综述分母，DOI身份不是全文核验。只有当前可检查事实交下游，不沿用旧门序当新研究结论。</w:t>
      </w:r>
    </w:p>
    <w:p>
      <w:pPr>
        <w:pStyle w:val="Heading1"/>
      </w:pPr>
      <w:r>
        <w:t>九 审阅与责任签收</w:t>
      </w:r>
    </w:p>
    <w:p>
      <w:r>
        <w:t>本包无真实团队第二人签署，历史Codex候选审查不改为傅钧烨签收。U12-07已有真人签收只涵盖其精确候选，不使本轮新W-01或后续修订自动通过。本轮不虚构独立Agent复核。</w:t>
      </w:r>
    </w:p>
    <w:p>
      <w:r>
        <w:t>历史审核人 Codex独立AC审查    日期 2026-08-06</w:t>
      </w:r>
    </w:p>
    <w:p>
      <w:r>
        <w:t>原记录为模型生产与独立AC审查，PASS_FOR_CANDIDATE_PACKAGE；没有本包真人第二人签署，不代填姓名或提交。原验收不覆盖当前修订、新颖性成立或实证结果。</w:t>
      </w:r>
    </w:p>
    <w:p>
      <w:pPr>
        <w:pStyle w:val="Heading1"/>
      </w:pPr>
      <w:r>
        <w:t>十 收尾与下一包</w:t>
      </w:r>
    </w:p>
    <w:p>
      <w:r>
        <w:t>本包初次整理为第33包；2026-09-29随U12-07修订消费者，总进度66/71，余5，下一U12-08。业务DONE范围不变，总体整理和根目录双层迁移仍未完成。</w:t>
      </w:r>
    </w:p>
    <w:p>
      <w:pPr>
        <w:pStyle w:val="Heading1"/>
      </w:pPr>
      <w:r>
        <w:t>十一 审阅来源</w:t>
      </w:r>
    </w:p>
    <w:p>
      <w:r>
        <w:t>原W-01全文与四张CSV/BibTeX/验收，实际验证器、注册表、活动协议v1.2、U12-07已签收稿和R-01/A-02/A-03当前交接。没有把历史文献编码伪装本轮全文复查。</w:t>
      </w:r>
    </w:p>
    <w:p>
      <w:hyperlink r:id="rId10">
        <w:r>
          <w:t>当前论文骨架与下游</w:t>
        </w:r>
      </w:hyperlink>
    </w:p>
    <w:p>
      <w:hyperlink r:id="rId11">
        <w:r>
          <w:t>六项当前主张与反证</w:t>
        </w:r>
      </w:hyperlink>
    </w:p>
    <w:p>
      <w:hyperlink r:id="rId12">
        <w:r>
          <w:t>实际核验结果</w:t>
        </w:r>
      </w:hyperlink>
    </w:p>
    <w:p>
      <w:hyperlink r:id="rId13">
        <w:r>
          <w:t>跨包偏离与历史范围</w:t>
        </w:r>
      </w:hyperlink>
    </w:p>
    <w:p>
      <w:hyperlink r:id="rId14">
        <w:r>
          <w:t>过程验收与资料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W-01/outputs/current-paper.md" TargetMode="External"/><Relationship Id="rId11" Type="http://schemas.openxmlformats.org/officeDocument/2006/relationships/hyperlink" Target="file:///D:/Agent/srp/agent/tasks/W-01/outputs/current-paper.json" TargetMode="External"/><Relationship Id="rId12" Type="http://schemas.openxmlformats.org/officeDocument/2006/relationships/hyperlink" Target="file:///D:/Agent/srp/agent/tasks/W-01/evidence/verification.json" TargetMode="External"/><Relationship Id="rId13" Type="http://schemas.openxmlformats.org/officeDocument/2006/relationships/hyperlink" Target="file:///D:/Agent/srp/agent/tasks/W-01/evidence/consumer-impact.md" TargetMode="External"/><Relationship Id="rId14" Type="http://schemas.openxmlformats.org/officeDocument/2006/relationships/hyperlink" Target="file:///D:/Agent/srp/agent/tasks/W-01/TASK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